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4C42F">
      <w:pPr>
        <w:spacing w:line="600" w:lineRule="exact"/>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团体标准《</w:t>
      </w:r>
      <w:r>
        <w:rPr>
          <w:rFonts w:hint="default" w:ascii="方正小标宋简体" w:hAnsi="宋体" w:eastAsia="方正小标宋简体"/>
          <w:color w:val="000000"/>
          <w:sz w:val="44"/>
          <w:szCs w:val="32"/>
          <w:lang w:val="en-US" w:eastAsia="zh-CN"/>
        </w:rPr>
        <w:t>竹笋产量测定方法</w:t>
      </w:r>
      <w:r>
        <w:rPr>
          <w:rFonts w:hint="eastAsia" w:ascii="方正小标宋简体" w:hAnsi="宋体" w:eastAsia="方正小标宋简体"/>
          <w:color w:val="000000"/>
          <w:sz w:val="44"/>
          <w:szCs w:val="32"/>
        </w:rPr>
        <w:t>》</w:t>
      </w:r>
    </w:p>
    <w:p w14:paraId="57EF0FDF">
      <w:pPr>
        <w:spacing w:line="600" w:lineRule="exact"/>
        <w:jc w:val="center"/>
        <w:rPr>
          <w:rFonts w:ascii="方正小标宋简体" w:hAnsi="宋体" w:eastAsia="方正小标宋简体"/>
          <w:color w:val="000000"/>
          <w:sz w:val="44"/>
          <w:szCs w:val="32"/>
        </w:rPr>
      </w:pPr>
      <w:r>
        <w:rPr>
          <w:rFonts w:hint="eastAsia" w:ascii="方正小标宋简体" w:hAnsi="宋体" w:eastAsia="方正小标宋简体"/>
          <w:color w:val="000000"/>
          <w:sz w:val="44"/>
          <w:szCs w:val="32"/>
        </w:rPr>
        <w:t>（征求意见稿）编制说明</w:t>
      </w:r>
    </w:p>
    <w:p w14:paraId="2F6A9B2D">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501C27A1">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根据《广西标准化协会关于下达 2025 年第三批团体标准制修订项日计划的通知》（桂标协〔2025〕23号）精神，由广西壮族自治区林学会提出，广西壮族自治区林业科学研究院、柳州市林业技术推广站、柳州市柳南区龙汉岭林场、柳州市林业科学研究所共同起草修订的团体标准《竹笋产量测定方法》（项目编号2025-0305）已获立项。</w:t>
      </w:r>
    </w:p>
    <w:p w14:paraId="466F1B5E">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为高质量编制团体标准《竹笋产量测定方法》，由起草单位成立标准编制工作组并进行如下分工：</w:t>
      </w:r>
    </w:p>
    <w:tbl>
      <w:tblPr>
        <w:tblStyle w:val="8"/>
        <w:tblW w:w="9464" w:type="dxa"/>
        <w:tblInd w:w="0" w:type="dxa"/>
        <w:tblLayout w:type="fixed"/>
        <w:tblCellMar>
          <w:top w:w="0" w:type="dxa"/>
          <w:left w:w="108" w:type="dxa"/>
          <w:bottom w:w="0" w:type="dxa"/>
          <w:right w:w="108" w:type="dxa"/>
        </w:tblCellMar>
      </w:tblPr>
      <w:tblGrid>
        <w:gridCol w:w="1056"/>
        <w:gridCol w:w="1745"/>
        <w:gridCol w:w="2701"/>
        <w:gridCol w:w="3962"/>
      </w:tblGrid>
      <w:tr w14:paraId="5334811B">
        <w:tblPrEx>
          <w:tblCellMar>
            <w:top w:w="0" w:type="dxa"/>
            <w:left w:w="108" w:type="dxa"/>
            <w:bottom w:w="0" w:type="dxa"/>
            <w:right w:w="108" w:type="dxa"/>
          </w:tblCellMar>
        </w:tblPrEx>
        <w:trPr>
          <w:cantSplit/>
          <w:trHeight w:val="576" w:hRule="atLeast"/>
        </w:trPr>
        <w:tc>
          <w:tcPr>
            <w:tcW w:w="1056" w:type="dxa"/>
            <w:tcBorders>
              <w:top w:val="single" w:color="auto" w:sz="4" w:space="0"/>
              <w:left w:val="single" w:color="auto" w:sz="4" w:space="0"/>
              <w:bottom w:val="single" w:color="auto" w:sz="4" w:space="0"/>
              <w:right w:val="single" w:color="auto" w:sz="4" w:space="0"/>
            </w:tcBorders>
            <w:vAlign w:val="center"/>
          </w:tcPr>
          <w:p w14:paraId="68462D1F">
            <w:pPr>
              <w:ind w:firstLine="0" w:firstLineChars="0"/>
              <w:jc w:val="center"/>
              <w:rPr>
                <w:rFonts w:hint="eastAsia" w:ascii="宋体" w:hAnsi="宋体" w:eastAsia="宋体" w:cs="宋体"/>
                <w:b/>
                <w:bCs/>
                <w:sz w:val="24"/>
              </w:rPr>
            </w:pPr>
            <w:r>
              <w:rPr>
                <w:rFonts w:hint="eastAsia" w:ascii="宋体" w:hAnsi="宋体" w:eastAsia="宋体" w:cs="宋体"/>
                <w:b/>
                <w:bCs/>
                <w:sz w:val="24"/>
              </w:rPr>
              <w:t>姓  名</w:t>
            </w:r>
          </w:p>
        </w:tc>
        <w:tc>
          <w:tcPr>
            <w:tcW w:w="1745" w:type="dxa"/>
            <w:tcBorders>
              <w:top w:val="single" w:color="auto" w:sz="4" w:space="0"/>
              <w:left w:val="single" w:color="auto" w:sz="4" w:space="0"/>
              <w:bottom w:val="single" w:color="auto" w:sz="4" w:space="0"/>
              <w:right w:val="single" w:color="auto" w:sz="4" w:space="0"/>
            </w:tcBorders>
            <w:vAlign w:val="center"/>
          </w:tcPr>
          <w:p w14:paraId="7CA5F6F3">
            <w:pPr>
              <w:ind w:firstLine="0" w:firstLineChars="0"/>
              <w:jc w:val="center"/>
              <w:rPr>
                <w:rFonts w:hint="eastAsia" w:ascii="宋体" w:hAnsi="宋体" w:eastAsia="宋体" w:cs="宋体"/>
                <w:b/>
                <w:bCs/>
                <w:sz w:val="24"/>
              </w:rPr>
            </w:pPr>
            <w:r>
              <w:rPr>
                <w:rFonts w:hint="eastAsia" w:ascii="宋体" w:hAnsi="宋体" w:eastAsia="宋体" w:cs="宋体"/>
                <w:b/>
                <w:bCs/>
                <w:sz w:val="24"/>
              </w:rPr>
              <w:t>职称/职位</w:t>
            </w:r>
          </w:p>
        </w:tc>
        <w:tc>
          <w:tcPr>
            <w:tcW w:w="2701" w:type="dxa"/>
            <w:tcBorders>
              <w:top w:val="single" w:color="auto" w:sz="4" w:space="0"/>
              <w:left w:val="single" w:color="auto" w:sz="4" w:space="0"/>
              <w:bottom w:val="single" w:color="auto" w:sz="4" w:space="0"/>
              <w:right w:val="single" w:color="auto" w:sz="4" w:space="0"/>
            </w:tcBorders>
            <w:vAlign w:val="center"/>
          </w:tcPr>
          <w:p w14:paraId="5EBB3249">
            <w:pPr>
              <w:ind w:firstLine="0" w:firstLineChars="0"/>
              <w:jc w:val="center"/>
              <w:rPr>
                <w:rFonts w:hint="eastAsia" w:ascii="宋体" w:hAnsi="宋体" w:eastAsia="宋体" w:cs="宋体"/>
                <w:b/>
                <w:bCs/>
                <w:sz w:val="24"/>
              </w:rPr>
            </w:pPr>
            <w:r>
              <w:rPr>
                <w:rFonts w:hint="eastAsia" w:ascii="宋体" w:hAnsi="宋体" w:eastAsia="宋体" w:cs="宋体"/>
                <w:b/>
                <w:bCs/>
                <w:sz w:val="24"/>
              </w:rPr>
              <w:t>工作单位</w:t>
            </w:r>
          </w:p>
        </w:tc>
        <w:tc>
          <w:tcPr>
            <w:tcW w:w="3962" w:type="dxa"/>
            <w:tcBorders>
              <w:top w:val="single" w:color="auto" w:sz="4" w:space="0"/>
              <w:left w:val="single" w:color="auto" w:sz="4" w:space="0"/>
              <w:bottom w:val="single" w:color="auto" w:sz="4" w:space="0"/>
              <w:right w:val="single" w:color="auto" w:sz="4" w:space="0"/>
            </w:tcBorders>
            <w:vAlign w:val="center"/>
          </w:tcPr>
          <w:p w14:paraId="22D721CC">
            <w:pPr>
              <w:ind w:firstLine="0" w:firstLineChars="0"/>
              <w:jc w:val="center"/>
              <w:rPr>
                <w:rFonts w:hint="eastAsia" w:ascii="宋体" w:hAnsi="宋体" w:eastAsia="宋体" w:cs="宋体"/>
                <w:b/>
                <w:bCs/>
                <w:sz w:val="24"/>
              </w:rPr>
            </w:pPr>
            <w:r>
              <w:rPr>
                <w:rFonts w:hint="eastAsia" w:ascii="宋体" w:hAnsi="宋体" w:eastAsia="宋体" w:cs="宋体"/>
                <w:b/>
                <w:bCs/>
                <w:sz w:val="24"/>
              </w:rPr>
              <w:t>主要负责工作</w:t>
            </w:r>
          </w:p>
        </w:tc>
      </w:tr>
      <w:tr w14:paraId="31FCB48B">
        <w:tblPrEx>
          <w:tblCellMar>
            <w:top w:w="0" w:type="dxa"/>
            <w:left w:w="108" w:type="dxa"/>
            <w:bottom w:w="0" w:type="dxa"/>
            <w:right w:w="108" w:type="dxa"/>
          </w:tblCellMar>
        </w:tblPrEx>
        <w:trPr>
          <w:cantSplit/>
          <w:trHeight w:val="732"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60FC590C">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徐振国</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13973C8B">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高级工程师</w:t>
            </w:r>
          </w:p>
        </w:tc>
        <w:tc>
          <w:tcPr>
            <w:tcW w:w="2701" w:type="dxa"/>
            <w:tcBorders>
              <w:top w:val="single" w:color="000000" w:sz="2" w:space="0"/>
              <w:left w:val="single" w:color="auto" w:sz="4" w:space="0"/>
              <w:bottom w:val="single" w:color="auto" w:sz="4" w:space="0"/>
              <w:right w:val="single" w:color="auto" w:sz="4" w:space="0"/>
            </w:tcBorders>
            <w:shd w:val="clear" w:color="auto" w:fill="auto"/>
            <w:vAlign w:val="center"/>
          </w:tcPr>
          <w:p w14:paraId="01B7DD96">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广西林科院</w:t>
            </w:r>
          </w:p>
        </w:tc>
        <w:tc>
          <w:tcPr>
            <w:tcW w:w="3962" w:type="dxa"/>
            <w:tcBorders>
              <w:top w:val="single" w:color="auto" w:sz="4" w:space="0"/>
              <w:left w:val="single" w:color="auto" w:sz="4" w:space="0"/>
              <w:bottom w:val="single" w:color="auto" w:sz="4" w:space="0"/>
              <w:right w:val="single" w:color="auto" w:sz="4" w:space="0"/>
            </w:tcBorders>
            <w:vAlign w:val="center"/>
          </w:tcPr>
          <w:p w14:paraId="6C9BCAC5">
            <w:pPr>
              <w:ind w:firstLine="0" w:firstLineChars="0"/>
              <w:rPr>
                <w:rFonts w:hint="eastAsia" w:ascii="宋体" w:hAnsi="宋体" w:eastAsia="宋体" w:cs="宋体"/>
                <w:sz w:val="24"/>
                <w:lang w:bidi="ar"/>
              </w:rPr>
            </w:pPr>
            <w:r>
              <w:rPr>
                <w:rFonts w:hint="eastAsia" w:ascii="宋体" w:hAnsi="宋体" w:eastAsia="宋体" w:cs="宋体"/>
                <w:sz w:val="24"/>
                <w:lang w:bidi="ar"/>
              </w:rPr>
              <w:t>统筹主持标准编制工作</w:t>
            </w:r>
          </w:p>
        </w:tc>
      </w:tr>
      <w:tr w14:paraId="7075C40B">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32022734">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梁绍煜</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10C3506A">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站长/高级工程师</w:t>
            </w:r>
          </w:p>
        </w:tc>
        <w:tc>
          <w:tcPr>
            <w:tcW w:w="2701" w:type="dxa"/>
            <w:tcBorders>
              <w:top w:val="single" w:color="000000" w:sz="2" w:space="0"/>
              <w:left w:val="single" w:color="auto" w:sz="4" w:space="0"/>
              <w:bottom w:val="single" w:color="auto" w:sz="4" w:space="0"/>
              <w:right w:val="single" w:color="auto" w:sz="4" w:space="0"/>
            </w:tcBorders>
            <w:shd w:val="clear" w:color="auto" w:fill="auto"/>
            <w:vAlign w:val="center"/>
          </w:tcPr>
          <w:p w14:paraId="354A0354">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柳州市林业技术推广站</w:t>
            </w:r>
          </w:p>
        </w:tc>
        <w:tc>
          <w:tcPr>
            <w:tcW w:w="3962" w:type="dxa"/>
            <w:tcBorders>
              <w:top w:val="single" w:color="auto" w:sz="4" w:space="0"/>
              <w:left w:val="single" w:color="auto" w:sz="4" w:space="0"/>
              <w:bottom w:val="single" w:color="auto" w:sz="4" w:space="0"/>
              <w:right w:val="single" w:color="auto" w:sz="4" w:space="0"/>
            </w:tcBorders>
            <w:vAlign w:val="center"/>
          </w:tcPr>
          <w:p w14:paraId="34DF3ABC">
            <w:pPr>
              <w:ind w:firstLine="0" w:firstLineChars="0"/>
              <w:rPr>
                <w:rFonts w:hint="eastAsia" w:ascii="宋体" w:hAnsi="宋体" w:eastAsia="宋体" w:cs="宋体"/>
                <w:sz w:val="24"/>
                <w:lang w:bidi="ar"/>
              </w:rPr>
            </w:pPr>
            <w:r>
              <w:rPr>
                <w:rFonts w:hint="eastAsia" w:ascii="宋体" w:hAnsi="宋体" w:eastAsia="宋体" w:cs="宋体"/>
                <w:sz w:val="24"/>
                <w:lang w:bidi="ar"/>
              </w:rPr>
              <w:t>参与标准文本及编制说明编写，质量控制。</w:t>
            </w:r>
          </w:p>
        </w:tc>
      </w:tr>
      <w:tr w14:paraId="55D1BF04">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48601121">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朱秀芬</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4EDB3FC5">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工程师</w:t>
            </w:r>
          </w:p>
        </w:tc>
        <w:tc>
          <w:tcPr>
            <w:tcW w:w="2701" w:type="dxa"/>
            <w:tcBorders>
              <w:top w:val="single" w:color="000000" w:sz="2" w:space="0"/>
              <w:left w:val="single" w:color="auto" w:sz="4" w:space="0"/>
              <w:bottom w:val="single" w:color="auto" w:sz="4" w:space="0"/>
              <w:right w:val="single" w:color="auto" w:sz="4" w:space="0"/>
            </w:tcBorders>
            <w:shd w:val="clear" w:color="auto" w:fill="auto"/>
            <w:vAlign w:val="center"/>
          </w:tcPr>
          <w:p w14:paraId="4B6EA4C0">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柳州市林业技术推广站</w:t>
            </w:r>
          </w:p>
        </w:tc>
        <w:tc>
          <w:tcPr>
            <w:tcW w:w="3962" w:type="dxa"/>
            <w:tcBorders>
              <w:top w:val="single" w:color="auto" w:sz="4" w:space="0"/>
              <w:left w:val="single" w:color="auto" w:sz="4" w:space="0"/>
              <w:bottom w:val="single" w:color="auto" w:sz="4" w:space="0"/>
              <w:right w:val="single" w:color="auto" w:sz="4" w:space="0"/>
            </w:tcBorders>
            <w:vAlign w:val="center"/>
          </w:tcPr>
          <w:p w14:paraId="1D93F540">
            <w:pPr>
              <w:ind w:firstLine="0" w:firstLineChars="0"/>
              <w:rPr>
                <w:rFonts w:hint="eastAsia" w:ascii="宋体" w:hAnsi="宋体" w:eastAsia="宋体" w:cs="宋体"/>
                <w:sz w:val="24"/>
                <w:lang w:bidi="ar"/>
              </w:rPr>
            </w:pPr>
            <w:r>
              <w:rPr>
                <w:rFonts w:hint="eastAsia" w:ascii="宋体" w:hAnsi="宋体" w:eastAsia="宋体" w:cs="宋体"/>
                <w:sz w:val="24"/>
                <w:lang w:bidi="ar"/>
              </w:rPr>
              <w:t>参与标准文本及编制说明编写，质量控制。</w:t>
            </w:r>
          </w:p>
        </w:tc>
      </w:tr>
      <w:tr w14:paraId="7B2D88BB">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33202427">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黄柳芝</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3E337352">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工程师</w:t>
            </w:r>
          </w:p>
        </w:tc>
        <w:tc>
          <w:tcPr>
            <w:tcW w:w="2701" w:type="dxa"/>
            <w:tcBorders>
              <w:top w:val="single" w:color="000000" w:sz="2" w:space="0"/>
              <w:left w:val="single" w:color="auto" w:sz="4" w:space="0"/>
              <w:bottom w:val="single" w:color="auto" w:sz="4" w:space="0"/>
              <w:right w:val="single" w:color="auto" w:sz="4" w:space="0"/>
            </w:tcBorders>
            <w:shd w:val="clear" w:color="auto" w:fill="auto"/>
            <w:vAlign w:val="center"/>
          </w:tcPr>
          <w:p w14:paraId="48F3A239">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柳州市林业技术推广站</w:t>
            </w:r>
          </w:p>
        </w:tc>
        <w:tc>
          <w:tcPr>
            <w:tcW w:w="3962" w:type="dxa"/>
            <w:tcBorders>
              <w:top w:val="single" w:color="auto" w:sz="4" w:space="0"/>
              <w:left w:val="single" w:color="auto" w:sz="4" w:space="0"/>
              <w:bottom w:val="single" w:color="auto" w:sz="4" w:space="0"/>
              <w:right w:val="single" w:color="auto" w:sz="4" w:space="0"/>
            </w:tcBorders>
            <w:vAlign w:val="center"/>
          </w:tcPr>
          <w:p w14:paraId="3E1DD9DC">
            <w:pPr>
              <w:ind w:firstLine="0" w:firstLineChars="0"/>
              <w:rPr>
                <w:rFonts w:hint="eastAsia" w:ascii="宋体" w:hAnsi="宋体" w:eastAsia="宋体" w:cs="宋体"/>
                <w:sz w:val="24"/>
                <w:lang w:bidi="ar"/>
              </w:rPr>
            </w:pPr>
            <w:r>
              <w:rPr>
                <w:rFonts w:hint="eastAsia" w:ascii="宋体" w:hAnsi="宋体" w:eastAsia="宋体" w:cs="宋体"/>
                <w:sz w:val="24"/>
                <w:lang w:bidi="ar"/>
              </w:rPr>
              <w:t>组织开展标准征求意见会；对标准实施情况进行总结分析，不断对标准提出修正意见。</w:t>
            </w:r>
          </w:p>
        </w:tc>
      </w:tr>
      <w:tr w14:paraId="2AD1100F">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213D0BAB">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韦余成</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670B071C">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工程师</w:t>
            </w:r>
          </w:p>
        </w:tc>
        <w:tc>
          <w:tcPr>
            <w:tcW w:w="2701" w:type="dxa"/>
            <w:tcBorders>
              <w:top w:val="single" w:color="000000" w:sz="2" w:space="0"/>
              <w:left w:val="single" w:color="auto" w:sz="4" w:space="0"/>
              <w:bottom w:val="single" w:color="auto" w:sz="4" w:space="0"/>
              <w:right w:val="single" w:color="auto" w:sz="4" w:space="0"/>
            </w:tcBorders>
            <w:shd w:val="clear" w:color="auto" w:fill="auto"/>
            <w:vAlign w:val="center"/>
          </w:tcPr>
          <w:p w14:paraId="6265D396">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柳州市柳南区龙汉岭林场</w:t>
            </w:r>
          </w:p>
        </w:tc>
        <w:tc>
          <w:tcPr>
            <w:tcW w:w="3962" w:type="dxa"/>
            <w:tcBorders>
              <w:top w:val="single" w:color="auto" w:sz="4" w:space="0"/>
              <w:left w:val="single" w:color="auto" w:sz="4" w:space="0"/>
              <w:bottom w:val="single" w:color="auto" w:sz="4" w:space="0"/>
              <w:right w:val="single" w:color="auto" w:sz="4" w:space="0"/>
            </w:tcBorders>
            <w:vAlign w:val="center"/>
          </w:tcPr>
          <w:p w14:paraId="4D9F366B">
            <w:pPr>
              <w:ind w:firstLine="0" w:firstLineChars="0"/>
              <w:rPr>
                <w:rFonts w:hint="eastAsia" w:ascii="宋体" w:hAnsi="宋体" w:eastAsia="宋体" w:cs="宋体"/>
                <w:sz w:val="24"/>
                <w:lang w:bidi="ar"/>
              </w:rPr>
            </w:pPr>
            <w:r>
              <w:rPr>
                <w:rFonts w:hint="eastAsia" w:ascii="宋体" w:hAnsi="宋体" w:eastAsia="宋体" w:cs="宋体"/>
                <w:sz w:val="24"/>
                <w:lang w:bidi="ar"/>
              </w:rPr>
              <w:t>组织开展标准征求意见会；对标准实施情况进行总结分析，不断对标准提出修正意见。</w:t>
            </w:r>
          </w:p>
        </w:tc>
      </w:tr>
      <w:tr w14:paraId="0D297F38">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4493A96B">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卢宗军</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554394C9">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科长/高级工程师</w:t>
            </w:r>
          </w:p>
        </w:tc>
        <w:tc>
          <w:tcPr>
            <w:tcW w:w="2701" w:type="dxa"/>
            <w:tcBorders>
              <w:top w:val="single" w:color="000000" w:sz="2" w:space="0"/>
              <w:left w:val="single" w:color="auto" w:sz="4" w:space="0"/>
              <w:bottom w:val="single" w:color="auto" w:sz="4" w:space="0"/>
              <w:right w:val="single" w:color="auto" w:sz="4" w:space="0"/>
            </w:tcBorders>
            <w:shd w:val="clear" w:color="auto" w:fill="auto"/>
            <w:vAlign w:val="center"/>
          </w:tcPr>
          <w:p w14:paraId="2CB4688A">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柳州市林业科学研究所</w:t>
            </w:r>
          </w:p>
        </w:tc>
        <w:tc>
          <w:tcPr>
            <w:tcW w:w="3962" w:type="dxa"/>
            <w:tcBorders>
              <w:top w:val="single" w:color="auto" w:sz="4" w:space="0"/>
              <w:left w:val="single" w:color="auto" w:sz="4" w:space="0"/>
              <w:bottom w:val="single" w:color="auto" w:sz="4" w:space="0"/>
              <w:right w:val="single" w:color="auto" w:sz="4" w:space="0"/>
            </w:tcBorders>
            <w:vAlign w:val="center"/>
          </w:tcPr>
          <w:p w14:paraId="49BE9692">
            <w:pPr>
              <w:ind w:firstLine="0" w:firstLineChars="0"/>
              <w:rPr>
                <w:rFonts w:hint="eastAsia" w:ascii="宋体" w:hAnsi="宋体" w:eastAsia="宋体" w:cs="宋体"/>
                <w:sz w:val="24"/>
                <w:lang w:bidi="ar"/>
              </w:rPr>
            </w:pPr>
            <w:r>
              <w:rPr>
                <w:rFonts w:hint="eastAsia" w:ascii="宋体" w:hAnsi="宋体" w:eastAsia="宋体" w:cs="宋体"/>
                <w:sz w:val="24"/>
                <w:lang w:bidi="ar"/>
              </w:rPr>
              <w:t>参与标准文本及编制说明的编写；组织开展标准征求意见会</w:t>
            </w:r>
          </w:p>
        </w:tc>
      </w:tr>
      <w:tr w14:paraId="2CC7F27C">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33A6D103">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徐有文</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54615469">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场长/工程师</w:t>
            </w:r>
          </w:p>
        </w:tc>
        <w:tc>
          <w:tcPr>
            <w:tcW w:w="2701" w:type="dxa"/>
            <w:tcBorders>
              <w:top w:val="single" w:color="000000" w:sz="2" w:space="0"/>
              <w:left w:val="single" w:color="auto" w:sz="4" w:space="0"/>
              <w:bottom w:val="single" w:color="000000" w:sz="2" w:space="0"/>
              <w:right w:val="single" w:color="auto" w:sz="4" w:space="0"/>
            </w:tcBorders>
            <w:shd w:val="clear" w:color="auto" w:fill="auto"/>
            <w:vAlign w:val="center"/>
          </w:tcPr>
          <w:p w14:paraId="020D53BA">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柳州市柳南区龙汉岭林场</w:t>
            </w:r>
          </w:p>
        </w:tc>
        <w:tc>
          <w:tcPr>
            <w:tcW w:w="3962" w:type="dxa"/>
            <w:tcBorders>
              <w:top w:val="single" w:color="auto" w:sz="4" w:space="0"/>
              <w:left w:val="single" w:color="auto" w:sz="4" w:space="0"/>
              <w:bottom w:val="single" w:color="auto" w:sz="4" w:space="0"/>
              <w:right w:val="single" w:color="auto" w:sz="4" w:space="0"/>
            </w:tcBorders>
            <w:vAlign w:val="center"/>
          </w:tcPr>
          <w:p w14:paraId="581F29B9">
            <w:pPr>
              <w:ind w:firstLine="0" w:firstLineChars="0"/>
              <w:rPr>
                <w:rFonts w:hint="eastAsia" w:ascii="宋体" w:hAnsi="宋体" w:eastAsia="宋体" w:cs="宋体"/>
                <w:sz w:val="24"/>
                <w:lang w:bidi="ar"/>
              </w:rPr>
            </w:pPr>
            <w:r>
              <w:rPr>
                <w:rFonts w:hint="eastAsia" w:ascii="宋体" w:hAnsi="宋体" w:eastAsia="宋体" w:cs="宋体"/>
                <w:sz w:val="24"/>
                <w:lang w:bidi="ar"/>
              </w:rPr>
              <w:t>组织开展标准征求意见会；对标准实施情况进行总结分析，不断对标准提出修正意见。</w:t>
            </w:r>
          </w:p>
        </w:tc>
      </w:tr>
      <w:tr w14:paraId="6B90127A">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15664C61">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韦岑妮</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7A00E65A">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助理工程师</w:t>
            </w:r>
          </w:p>
        </w:tc>
        <w:tc>
          <w:tcPr>
            <w:tcW w:w="2701" w:type="dxa"/>
            <w:tcBorders>
              <w:top w:val="single" w:color="000000" w:sz="2" w:space="0"/>
              <w:left w:val="single" w:color="auto" w:sz="4" w:space="0"/>
              <w:bottom w:val="single" w:color="000000" w:sz="2" w:space="0"/>
              <w:right w:val="single" w:color="auto" w:sz="4" w:space="0"/>
            </w:tcBorders>
            <w:shd w:val="clear" w:color="auto" w:fill="auto"/>
            <w:vAlign w:val="center"/>
          </w:tcPr>
          <w:p w14:paraId="02C1258F">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柳州市林业科学研究所</w:t>
            </w:r>
          </w:p>
        </w:tc>
        <w:tc>
          <w:tcPr>
            <w:tcW w:w="3962" w:type="dxa"/>
            <w:tcBorders>
              <w:top w:val="single" w:color="auto" w:sz="4" w:space="0"/>
              <w:left w:val="single" w:color="auto" w:sz="4" w:space="0"/>
              <w:bottom w:val="single" w:color="auto" w:sz="4" w:space="0"/>
              <w:right w:val="single" w:color="auto" w:sz="4" w:space="0"/>
            </w:tcBorders>
            <w:vAlign w:val="center"/>
          </w:tcPr>
          <w:p w14:paraId="2021D5DF">
            <w:pPr>
              <w:ind w:firstLine="0" w:firstLineChars="0"/>
              <w:rPr>
                <w:rFonts w:hint="eastAsia" w:ascii="宋体" w:hAnsi="宋体" w:eastAsia="宋体" w:cs="宋体"/>
                <w:sz w:val="24"/>
                <w:lang w:bidi="ar"/>
              </w:rPr>
            </w:pPr>
            <w:r>
              <w:rPr>
                <w:rFonts w:hint="eastAsia" w:ascii="宋体" w:hAnsi="宋体" w:eastAsia="宋体" w:cs="宋体"/>
                <w:sz w:val="24"/>
                <w:lang w:bidi="ar"/>
              </w:rPr>
              <w:t>组织开展标准征求意见会；对标准实施情况进行总结分析，不断对标准提出修正意见。</w:t>
            </w:r>
          </w:p>
        </w:tc>
      </w:tr>
      <w:tr w14:paraId="0F1547EB">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280ACE76">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潘慧玲</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0D457839">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高级工程师</w:t>
            </w:r>
          </w:p>
        </w:tc>
        <w:tc>
          <w:tcPr>
            <w:tcW w:w="2701" w:type="dxa"/>
            <w:tcBorders>
              <w:top w:val="single" w:color="000000" w:sz="2" w:space="0"/>
              <w:left w:val="single" w:color="auto" w:sz="4" w:space="0"/>
              <w:bottom w:val="single" w:color="000000" w:sz="2" w:space="0"/>
              <w:right w:val="single" w:color="auto" w:sz="4" w:space="0"/>
            </w:tcBorders>
            <w:shd w:val="clear" w:color="auto" w:fill="auto"/>
            <w:vAlign w:val="center"/>
          </w:tcPr>
          <w:p w14:paraId="1716F0AB">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柳州市林业技术推广站</w:t>
            </w:r>
          </w:p>
        </w:tc>
        <w:tc>
          <w:tcPr>
            <w:tcW w:w="3962" w:type="dxa"/>
            <w:tcBorders>
              <w:top w:val="single" w:color="auto" w:sz="4" w:space="0"/>
              <w:left w:val="single" w:color="auto" w:sz="4" w:space="0"/>
              <w:bottom w:val="single" w:color="auto" w:sz="4" w:space="0"/>
              <w:right w:val="single" w:color="auto" w:sz="4" w:space="0"/>
            </w:tcBorders>
            <w:vAlign w:val="center"/>
          </w:tcPr>
          <w:p w14:paraId="671A4FEF">
            <w:pPr>
              <w:ind w:firstLine="0" w:firstLineChars="0"/>
              <w:rPr>
                <w:rFonts w:hint="eastAsia" w:ascii="宋体" w:hAnsi="宋体" w:eastAsia="宋体" w:cs="宋体"/>
                <w:sz w:val="24"/>
                <w:lang w:bidi="ar"/>
              </w:rPr>
            </w:pPr>
            <w:r>
              <w:rPr>
                <w:rFonts w:hint="eastAsia" w:ascii="宋体" w:hAnsi="宋体" w:eastAsia="宋体" w:cs="宋体"/>
                <w:sz w:val="24"/>
                <w:lang w:bidi="ar"/>
              </w:rPr>
              <w:t>组织开展标准征求意见会；对标准实施情况进行总结分析，不断对标准提出修正意见。</w:t>
            </w:r>
          </w:p>
        </w:tc>
      </w:tr>
      <w:tr w14:paraId="3C63A2F9">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619EEFCE">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韦世栋</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08703052">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工程师</w:t>
            </w:r>
          </w:p>
        </w:tc>
        <w:tc>
          <w:tcPr>
            <w:tcW w:w="2701" w:type="dxa"/>
            <w:tcBorders>
              <w:top w:val="single" w:color="000000" w:sz="2" w:space="0"/>
              <w:left w:val="single" w:color="auto" w:sz="4" w:space="0"/>
              <w:bottom w:val="single" w:color="000000" w:sz="2" w:space="0"/>
              <w:right w:val="single" w:color="auto" w:sz="4" w:space="0"/>
            </w:tcBorders>
            <w:shd w:val="clear" w:color="auto" w:fill="auto"/>
            <w:vAlign w:val="center"/>
          </w:tcPr>
          <w:p w14:paraId="60DB7276">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柳州市柳南区龙汉岭林场</w:t>
            </w:r>
          </w:p>
        </w:tc>
        <w:tc>
          <w:tcPr>
            <w:tcW w:w="3962" w:type="dxa"/>
            <w:tcBorders>
              <w:top w:val="single" w:color="auto" w:sz="4" w:space="0"/>
              <w:left w:val="single" w:color="auto" w:sz="4" w:space="0"/>
              <w:bottom w:val="single" w:color="auto" w:sz="4" w:space="0"/>
              <w:right w:val="single" w:color="auto" w:sz="4" w:space="0"/>
            </w:tcBorders>
            <w:vAlign w:val="center"/>
          </w:tcPr>
          <w:p w14:paraId="0049A5DA">
            <w:pPr>
              <w:ind w:firstLine="0" w:firstLineChars="0"/>
              <w:rPr>
                <w:rFonts w:hint="eastAsia" w:ascii="宋体" w:hAnsi="宋体" w:eastAsia="宋体" w:cs="宋体"/>
                <w:sz w:val="24"/>
                <w:lang w:bidi="ar"/>
              </w:rPr>
            </w:pPr>
            <w:r>
              <w:rPr>
                <w:rFonts w:hint="eastAsia" w:ascii="宋体" w:hAnsi="宋体" w:eastAsia="宋体" w:cs="宋体"/>
                <w:sz w:val="24"/>
                <w:lang w:bidi="ar"/>
              </w:rPr>
              <w:t>对标准实施情况进行总结分析，不断对标准提出修正意见。</w:t>
            </w:r>
          </w:p>
        </w:tc>
      </w:tr>
      <w:tr w14:paraId="2BAEED08">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61ED3AB8">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兰海思</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13896B8E">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工程师</w:t>
            </w:r>
          </w:p>
        </w:tc>
        <w:tc>
          <w:tcPr>
            <w:tcW w:w="2701" w:type="dxa"/>
            <w:tcBorders>
              <w:top w:val="single" w:color="000000" w:sz="2" w:space="0"/>
              <w:left w:val="single" w:color="auto" w:sz="4" w:space="0"/>
              <w:bottom w:val="single" w:color="000000" w:sz="2" w:space="0"/>
              <w:right w:val="single" w:color="auto" w:sz="4" w:space="0"/>
            </w:tcBorders>
            <w:shd w:val="clear" w:color="auto" w:fill="auto"/>
            <w:vAlign w:val="center"/>
          </w:tcPr>
          <w:p w14:paraId="19B6DB69">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柳州市柳南区龙汉岭林场</w:t>
            </w:r>
          </w:p>
        </w:tc>
        <w:tc>
          <w:tcPr>
            <w:tcW w:w="3962" w:type="dxa"/>
            <w:tcBorders>
              <w:top w:val="single" w:color="auto" w:sz="4" w:space="0"/>
              <w:left w:val="single" w:color="auto" w:sz="4" w:space="0"/>
              <w:bottom w:val="single" w:color="auto" w:sz="4" w:space="0"/>
              <w:right w:val="single" w:color="auto" w:sz="4" w:space="0"/>
            </w:tcBorders>
            <w:vAlign w:val="center"/>
          </w:tcPr>
          <w:p w14:paraId="6A832FD8">
            <w:pPr>
              <w:ind w:firstLine="0" w:firstLineChars="0"/>
              <w:rPr>
                <w:rFonts w:hint="eastAsia" w:ascii="宋体" w:hAnsi="宋体" w:eastAsia="宋体" w:cs="宋体"/>
                <w:sz w:val="24"/>
                <w:lang w:bidi="ar"/>
              </w:rPr>
            </w:pPr>
            <w:r>
              <w:rPr>
                <w:rFonts w:hint="eastAsia" w:ascii="宋体" w:hAnsi="宋体" w:eastAsia="宋体" w:cs="宋体"/>
                <w:sz w:val="24"/>
                <w:lang w:bidi="ar"/>
              </w:rPr>
              <w:t>对标准实施情况进行总结分析，不断对标准提出修正意见。</w:t>
            </w:r>
          </w:p>
        </w:tc>
      </w:tr>
      <w:tr w14:paraId="11750051">
        <w:tblPrEx>
          <w:tblCellMar>
            <w:top w:w="0" w:type="dxa"/>
            <w:left w:w="108" w:type="dxa"/>
            <w:bottom w:w="0" w:type="dxa"/>
            <w:right w:w="108" w:type="dxa"/>
          </w:tblCellMar>
        </w:tblPrEx>
        <w:trPr>
          <w:cantSplit/>
          <w:trHeight w:val="517" w:hRule="atLeast"/>
        </w:trPr>
        <w:tc>
          <w:tcPr>
            <w:tcW w:w="1056" w:type="dxa"/>
            <w:tcBorders>
              <w:top w:val="single" w:color="auto" w:sz="4" w:space="0"/>
              <w:left w:val="single" w:color="auto" w:sz="4" w:space="0"/>
              <w:bottom w:val="single" w:color="auto" w:sz="4" w:space="0"/>
              <w:right w:val="single" w:color="008000" w:sz="4" w:space="0"/>
            </w:tcBorders>
            <w:shd w:val="clear" w:color="auto" w:fill="auto"/>
            <w:vAlign w:val="center"/>
          </w:tcPr>
          <w:p w14:paraId="23942180">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覃海丁</w:t>
            </w:r>
          </w:p>
        </w:tc>
        <w:tc>
          <w:tcPr>
            <w:tcW w:w="1745" w:type="dxa"/>
            <w:tcBorders>
              <w:top w:val="single" w:color="auto" w:sz="4" w:space="0"/>
              <w:left w:val="single" w:color="auto" w:sz="4" w:space="0"/>
              <w:bottom w:val="single" w:color="auto" w:sz="4" w:space="0"/>
              <w:right w:val="single" w:color="auto" w:sz="4" w:space="0"/>
            </w:tcBorders>
            <w:shd w:val="clear" w:color="auto" w:fill="auto"/>
            <w:vAlign w:val="center"/>
          </w:tcPr>
          <w:p w14:paraId="1388111B">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工程师</w:t>
            </w:r>
          </w:p>
        </w:tc>
        <w:tc>
          <w:tcPr>
            <w:tcW w:w="2701" w:type="dxa"/>
            <w:tcBorders>
              <w:top w:val="single" w:color="000000" w:sz="2" w:space="0"/>
              <w:left w:val="single" w:color="auto" w:sz="4" w:space="0"/>
              <w:bottom w:val="single" w:color="000000" w:sz="2" w:space="0"/>
              <w:right w:val="single" w:color="auto" w:sz="4" w:space="0"/>
            </w:tcBorders>
            <w:shd w:val="clear" w:color="auto" w:fill="auto"/>
            <w:vAlign w:val="center"/>
          </w:tcPr>
          <w:p w14:paraId="4F966396">
            <w:pPr>
              <w:ind w:firstLine="0" w:firstLineChars="0"/>
              <w:jc w:val="center"/>
              <w:rPr>
                <w:rFonts w:hint="eastAsia" w:ascii="宋体" w:hAnsi="宋体" w:eastAsia="宋体" w:cs="宋体"/>
                <w:sz w:val="24"/>
                <w:lang w:val="en-US" w:eastAsia="zh-CN" w:bidi="ar"/>
              </w:rPr>
            </w:pPr>
            <w:r>
              <w:rPr>
                <w:rFonts w:hint="eastAsia" w:ascii="宋体" w:hAnsi="宋体" w:eastAsia="宋体" w:cs="宋体"/>
                <w:sz w:val="24"/>
                <w:lang w:val="en-US" w:eastAsia="zh-CN" w:bidi="ar"/>
              </w:rPr>
              <w:t>柳州市柳南区龙汉岭林场</w:t>
            </w:r>
          </w:p>
        </w:tc>
        <w:tc>
          <w:tcPr>
            <w:tcW w:w="3962" w:type="dxa"/>
            <w:tcBorders>
              <w:top w:val="single" w:color="auto" w:sz="4" w:space="0"/>
              <w:left w:val="single" w:color="auto" w:sz="4" w:space="0"/>
              <w:bottom w:val="single" w:color="auto" w:sz="4" w:space="0"/>
              <w:right w:val="single" w:color="auto" w:sz="4" w:space="0"/>
            </w:tcBorders>
            <w:vAlign w:val="center"/>
          </w:tcPr>
          <w:p w14:paraId="0C76A4F8">
            <w:pPr>
              <w:ind w:firstLine="0" w:firstLineChars="0"/>
              <w:rPr>
                <w:rFonts w:hint="eastAsia" w:ascii="宋体" w:hAnsi="宋体" w:eastAsia="宋体" w:cs="宋体"/>
                <w:sz w:val="24"/>
                <w:lang w:bidi="ar"/>
              </w:rPr>
            </w:pPr>
            <w:r>
              <w:rPr>
                <w:rFonts w:hint="eastAsia" w:ascii="宋体" w:hAnsi="宋体" w:eastAsia="宋体" w:cs="宋体"/>
                <w:sz w:val="24"/>
                <w:lang w:bidi="ar"/>
              </w:rPr>
              <w:t>对标准实施情况进行总结分析，不断对标准提出修正意见。</w:t>
            </w:r>
          </w:p>
        </w:tc>
      </w:tr>
    </w:tbl>
    <w:p w14:paraId="68BEA0C1">
      <w:pPr>
        <w:autoSpaceDE w:val="0"/>
        <w:autoSpaceDN w:val="0"/>
        <w:adjustRightInd w:val="0"/>
        <w:spacing w:before="156" w:beforeLines="50" w:after="156" w:afterLines="50" w:line="560" w:lineRule="exact"/>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4CA537C6">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为深入贯彻落实习近平总书记关于因地制宜 发展竹产业、让竹林成为美丽乡村风景线的重要指示精神，加快 推进竹产业创新发展，2021年11月18日，国家林业和草原局、国家发展改革委、科技部等10部门联合印发《关于加快推进竹产业创新发展的意见》。2023-2024年自治区党委、政府出台《关于推进新时代林业高质量发展的意见》、《广西万亿林业产业三年行动方案（2023—2025年）》、《关于加快推进广西竹产业创新发展的意见》，进一步明确广西竹产业发展方向，推动竹笋原料林基地建设，提高产竹笋产量和产业经营规模。因此，本标准制定可以及时了解竹笋产量，预防防范风险能力，推动竹笋产业持续健康高质量发展。</w:t>
      </w:r>
    </w:p>
    <w:p w14:paraId="2B4BD56F">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竹子属于禾本科（Gramineae）竹亚科（Bambusoideae）多年生常绿植物。竹笋是竹鞭或秆基上的芽萌发分化而成的膨大的芽或分化的茎，别名笋，为多年生常绿木本植物，食用部分为初生、嫩肥、短壮的芽或鞭。竹笋味美可口，营养丰富，是我国的传统名菜，在国内外拥有广阔的市场。我国食用和栽培竹笋从唐代以前开始，《诗经》是我国西周初年至春秋时期的诗歌汇集，其中就有“加豆之实，笋菹鱼醢”、“其籁伊何，惟笋及蒲”等诗句，表明食用竹笋有2500～3000年的历史。我国是世界主要产竹产笋国之一，现有竹林面积500万hm</w:t>
      </w:r>
      <w:r>
        <w:rPr>
          <w:rFonts w:hint="default" w:ascii="Times New Roman" w:hAnsi="Times New Roman" w:cs="Times New Roman" w:eastAsiaTheme="minorEastAsia"/>
          <w:sz w:val="30"/>
          <w:szCs w:val="30"/>
          <w:vertAlign w:val="superscript"/>
          <w:lang w:val="en-US" w:eastAsia="zh-CN"/>
        </w:rPr>
        <w:t>2</w:t>
      </w:r>
      <w:r>
        <w:rPr>
          <w:rFonts w:hint="default" w:ascii="Times New Roman" w:hAnsi="Times New Roman" w:cs="Times New Roman" w:eastAsiaTheme="minorEastAsia"/>
          <w:sz w:val="30"/>
          <w:szCs w:val="30"/>
          <w:lang w:val="en-US" w:eastAsia="zh-CN"/>
        </w:rPr>
        <w:t>，在我国500余种（含种以下分类单位，下同）竹子中，其中可食用的竹种在200种以上，而经济效益比较高的竹笋只有30余种。</w:t>
      </w:r>
    </w:p>
    <w:p w14:paraId="68D31629">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广西属于华南竹区，全区拥有竹林面积约36万hm2，其中麻竹、吊丝球竹、绿竹、云南龙竹占了相当比重。竹笋是广西酸笋的主要原材料，广西酸笋是柳州螺蛳粉、桂林米粉、南宁老友粉的灵魂调料。近年来，以柳州螺蛳粉为代表的米粉产业链快速发展，为竹笋原料主产区带来了新的发展机遇，竹笋生产已经成为广西山区（特别是竹笋产区）农民发展效益农业，增加收入的重要途径。2021年4月，习近平总书记视察柳州时，强调要推进螺蛳粉特色产业高质量发展，把住质量安全关，推进标准化、品牌化。广西壮族自治区党委、政府高度重视，深入贯彻落实习近平总书记重要讲话和指示精神，积极部署加快柳州螺蛳粉高质量发展。</w:t>
      </w:r>
    </w:p>
    <w:p w14:paraId="4863DB8B">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当前，广西笋用竹产业获得了快速发展，尤其是竹笋产量显著提升，但是涉及竹笋产量测定的技术、新方法尚未制定，远不能反映行业发展和技术进步的现状和要求。因此，本标准的修订，可能够为农业生产者提供直观的生产成果反馈，提高农民参与产业开发的积极性，发挥科技支撑作用，带动广西竹产业的发展。</w:t>
      </w:r>
    </w:p>
    <w:p w14:paraId="261DB1BE">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长期以来，由于广大笋农对竹笋种植、产量掌握不足，由于各地对竹笋产量测定方法不统一，导致竹笋产量判断有误，直接影响了林农的预销售判断和与竹笋产业相关的产业发展，因此，很有必要及时制定出全区统一的竹笋产量测定方法技术标准，为农业生产者提供直观的生产成果反馈，对提高产业的整体效益将起到积极的带动作用。</w:t>
      </w:r>
    </w:p>
    <w:p w14:paraId="121E642E">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三、主要起草过程</w:t>
      </w:r>
    </w:p>
    <w:p w14:paraId="269607F6">
      <w:pPr>
        <w:spacing w:line="560" w:lineRule="exact"/>
        <w:ind w:firstLine="643"/>
        <w:rPr>
          <w:rFonts w:ascii="楷体" w:hAnsi="楷体" w:eastAsia="楷体"/>
          <w:szCs w:val="28"/>
        </w:rPr>
      </w:pPr>
      <w:r>
        <w:rPr>
          <w:rFonts w:hint="eastAsia" w:ascii="楷体" w:hAnsi="楷体" w:eastAsia="楷体" w:cs="仿宋_GB2312"/>
          <w:b/>
          <w:szCs w:val="28"/>
        </w:rPr>
        <w:t>（一）成立标准编制工作组</w:t>
      </w:r>
    </w:p>
    <w:p w14:paraId="657554C0">
      <w:pPr>
        <w:ind w:firstLine="640"/>
        <w:rPr>
          <w:rFonts w:hint="default"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团体标准《</w:t>
      </w:r>
      <w:r>
        <w:rPr>
          <w:rFonts w:hint="default" w:ascii="Times New Roman" w:hAnsi="Times New Roman" w:cs="Times New Roman" w:eastAsiaTheme="minorEastAsia"/>
          <w:sz w:val="30"/>
          <w:szCs w:val="30"/>
          <w:lang w:val="en-US" w:eastAsia="zh-CN"/>
        </w:rPr>
        <w:t>竹笋产量测定方法</w:t>
      </w:r>
      <w:r>
        <w:rPr>
          <w:rFonts w:hint="eastAsia" w:ascii="Times New Roman" w:hAnsi="Times New Roman" w:cs="Times New Roman" w:eastAsiaTheme="minorEastAsia"/>
          <w:sz w:val="30"/>
          <w:szCs w:val="30"/>
          <w:lang w:val="en-US" w:eastAsia="zh-CN"/>
        </w:rPr>
        <w:t>》项目任务下达后，广西壮族自治区林业科学研究院成立了标准编制工作组，起草单位制定了起草编写方案与进度安排，明确任务职责，确定工作技术路线，开展标准研制工作。具体标准编制工作由广西壮族自治区林业科学研究院、</w:t>
      </w:r>
      <w:r>
        <w:rPr>
          <w:rFonts w:hint="default" w:ascii="Times New Roman" w:hAnsi="Times New Roman" w:cs="Times New Roman" w:eastAsiaTheme="minorEastAsia"/>
          <w:sz w:val="30"/>
          <w:szCs w:val="30"/>
          <w:lang w:val="en-US" w:eastAsia="zh-CN"/>
        </w:rPr>
        <w:t>柳州市林业技术推广站、柳州市柳南区龙汉岭林场、柳州市林业科学研究所</w:t>
      </w:r>
      <w:r>
        <w:rPr>
          <w:rFonts w:hint="eastAsia" w:ascii="Times New Roman" w:hAnsi="Times New Roman" w:cs="Times New Roman" w:eastAsiaTheme="minorEastAsia"/>
          <w:sz w:val="30"/>
          <w:szCs w:val="30"/>
          <w:lang w:val="en-US" w:eastAsia="zh-CN"/>
        </w:rPr>
        <w:t>等单位负责人组成的标准编制工作组完成。</w:t>
      </w:r>
    </w:p>
    <w:p w14:paraId="5C4A55BF">
      <w:pPr>
        <w:ind w:firstLine="640"/>
        <w:rPr>
          <w:rFonts w:hint="default"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编制工作组下设三个组，分别是资料收集组、草案编写组、标准实施组。</w:t>
      </w:r>
    </w:p>
    <w:p w14:paraId="220ECDBB">
      <w:pPr>
        <w:ind w:firstLine="640"/>
        <w:rPr>
          <w:rFonts w:hint="default"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资料收集组负责国内外有关竹笋测产相关技术的文献资料的查询、收集和整理工作，查阅前人对竹笋产量测定的研究情况。</w:t>
      </w:r>
    </w:p>
    <w:p w14:paraId="3E7F2D4E">
      <w:pPr>
        <w:ind w:firstLine="640"/>
        <w:rPr>
          <w:rFonts w:hint="default"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草案编写组负责起草标准草案、征求意见稿和标准编制说明、送审稿及编制说明的编写工作，包括后期召开征求意见会、网上征求意见，以及标准的不断修改和完善。</w:t>
      </w:r>
    </w:p>
    <w:p w14:paraId="3CD17541">
      <w:pPr>
        <w:ind w:firstLine="640"/>
        <w:rPr>
          <w:rFonts w:hint="default"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标准实施组负责团体标准《</w:t>
      </w:r>
      <w:r>
        <w:rPr>
          <w:rFonts w:hint="default" w:ascii="Times New Roman" w:hAnsi="Times New Roman" w:cs="Times New Roman" w:eastAsiaTheme="minorEastAsia"/>
          <w:sz w:val="30"/>
          <w:szCs w:val="30"/>
          <w:lang w:val="en-US" w:eastAsia="zh-CN"/>
        </w:rPr>
        <w:t>竹笋产量测定方法</w:t>
      </w:r>
      <w:r>
        <w:rPr>
          <w:rFonts w:hint="eastAsia" w:ascii="Times New Roman" w:hAnsi="Times New Roman" w:cs="Times New Roman" w:eastAsiaTheme="minorEastAsia"/>
          <w:sz w:val="30"/>
          <w:szCs w:val="30"/>
          <w:lang w:val="en-US" w:eastAsia="zh-CN"/>
        </w:rPr>
        <w:t>》发布后，组织相关医疗单位开展标准宣贯培训会，对标准进行详细解读，让相关人员了解标准，并根据标准对</w:t>
      </w:r>
      <w:r>
        <w:rPr>
          <w:rFonts w:hint="eastAsia" w:cs="Times New Roman" w:eastAsiaTheme="minorEastAsia"/>
          <w:sz w:val="30"/>
          <w:szCs w:val="30"/>
          <w:lang w:val="en-US" w:eastAsia="zh-CN"/>
        </w:rPr>
        <w:t>竹笋测产</w:t>
      </w:r>
      <w:r>
        <w:rPr>
          <w:rFonts w:hint="eastAsia" w:ascii="Times New Roman" w:hAnsi="Times New Roman" w:cs="Times New Roman" w:eastAsiaTheme="minorEastAsia"/>
          <w:sz w:val="30"/>
          <w:szCs w:val="30"/>
          <w:lang w:val="en-US" w:eastAsia="zh-CN"/>
        </w:rPr>
        <w:t>进行规范化操作，并对标准实施情况进行总结分析，不断对团体标准提出修正意见。</w:t>
      </w:r>
    </w:p>
    <w:p w14:paraId="5EF286FB">
      <w:pPr>
        <w:spacing w:line="560" w:lineRule="exact"/>
        <w:ind w:firstLine="643"/>
        <w:rPr>
          <w:rFonts w:ascii="楷体" w:hAnsi="楷体" w:eastAsia="楷体" w:cs="仿宋_GB2312"/>
          <w:b/>
          <w:szCs w:val="28"/>
        </w:rPr>
      </w:pPr>
      <w:r>
        <w:rPr>
          <w:rFonts w:hint="eastAsia" w:ascii="楷体" w:hAnsi="楷体" w:eastAsia="楷体" w:cs="仿宋_GB2312"/>
          <w:b/>
          <w:szCs w:val="28"/>
        </w:rPr>
        <w:t>（二）收集整理文献资料</w:t>
      </w:r>
    </w:p>
    <w:p w14:paraId="52868863">
      <w:pPr>
        <w:ind w:firstLine="640"/>
        <w:rPr>
          <w:rFonts w:hint="eastAsia" w:ascii="Times New Roman" w:hAnsi="Times New Roman" w:cs="Times New Roman" w:eastAsiaTheme="minorEastAsia"/>
          <w:sz w:val="30"/>
          <w:szCs w:val="30"/>
          <w:lang w:val="fr-FR" w:eastAsia="zh-CN"/>
        </w:rPr>
      </w:pPr>
      <w:r>
        <w:rPr>
          <w:rFonts w:hint="eastAsia" w:ascii="Times New Roman" w:hAnsi="Times New Roman" w:cs="Times New Roman" w:eastAsiaTheme="minorEastAsia"/>
          <w:sz w:val="30"/>
          <w:szCs w:val="30"/>
          <w:lang w:val="en-US" w:eastAsia="zh-CN"/>
        </w:rPr>
        <w:t>标准编制工作组收集了国内有关</w:t>
      </w:r>
      <w:r>
        <w:rPr>
          <w:rFonts w:hint="eastAsia" w:cs="Times New Roman" w:eastAsiaTheme="minorEastAsia"/>
          <w:sz w:val="30"/>
          <w:szCs w:val="30"/>
          <w:lang w:val="en-US" w:eastAsia="zh-CN"/>
        </w:rPr>
        <w:t>竹笋产量的</w:t>
      </w:r>
      <w:r>
        <w:rPr>
          <w:rFonts w:hint="eastAsia" w:ascii="Times New Roman" w:hAnsi="Times New Roman" w:cs="Times New Roman" w:eastAsiaTheme="minorEastAsia"/>
          <w:sz w:val="30"/>
          <w:szCs w:val="30"/>
          <w:lang w:val="en-US" w:eastAsia="zh-CN"/>
        </w:rPr>
        <w:t>相关文献资料。主要有</w:t>
      </w:r>
      <w:r>
        <w:rPr>
          <w:rFonts w:hint="eastAsia" w:ascii="Times New Roman" w:hAnsi="Times New Roman" w:cs="Times New Roman" w:eastAsiaTheme="minorEastAsia"/>
          <w:sz w:val="30"/>
          <w:szCs w:val="30"/>
          <w:lang w:val="fr-FR" w:eastAsia="zh-CN"/>
        </w:rPr>
        <w:t>：</w:t>
      </w:r>
    </w:p>
    <w:p w14:paraId="6F046502">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[1]</w:t>
      </w:r>
      <w:r>
        <w:rPr>
          <w:rFonts w:hint="default" w:ascii="Times New Roman" w:hAnsi="Times New Roman" w:cs="Times New Roman" w:eastAsiaTheme="minorEastAsia"/>
          <w:sz w:val="30"/>
          <w:szCs w:val="30"/>
          <w:lang w:val="en-US" w:eastAsia="zh-CN"/>
        </w:rPr>
        <w:t>刘郑,徐丽君,何泳,等.关键时期土壤含水量对雷竹林竹笋产量和品质的影响[J].湖北林业科技,2025,54(02):56-59</w:t>
      </w:r>
    </w:p>
    <w:p w14:paraId="49ADDB49">
      <w:pPr>
        <w:ind w:firstLine="640"/>
        <w:rPr>
          <w:rFonts w:hint="eastAsia"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[2]赵建诚,杨振亚,王波,等.鸡粪有机肥配施生物炭提高雷竹林土壤肥力和竹笋产量品质[J].植物营养与肥料学报,2025,31(03):458-469</w:t>
      </w:r>
    </w:p>
    <w:p w14:paraId="4763C04E">
      <w:pPr>
        <w:ind w:firstLine="640"/>
        <w:rPr>
          <w:rFonts w:hint="eastAsia"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[3]吴承文.土壤改良材料对绿竹笋产量及矿质元素的影响[J].福建林业科技,2024,51(04):71-75</w:t>
      </w:r>
    </w:p>
    <w:p w14:paraId="5E20BB0F">
      <w:pPr>
        <w:ind w:firstLine="640"/>
        <w:rPr>
          <w:rFonts w:hint="eastAsia"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[4]何书渊</w:t>
      </w:r>
      <w:r>
        <w:rPr>
          <w:rFonts w:hint="eastAsia" w:ascii="Times New Roman" w:hAnsi="Times New Roman"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种植密度对其生长及竹笋产量的影响分析[J].种子世界,2024,(12):195-197</w:t>
      </w:r>
    </w:p>
    <w:p w14:paraId="4218279B">
      <w:pPr>
        <w:ind w:firstLine="640"/>
        <w:rPr>
          <w:rFonts w:hint="eastAsia"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[5]宁新卿,邓志明,黄雪龙,等.高产笋用毛竹林培育技术初探[J].园艺与种苗,2024,44(11):45-47</w:t>
      </w:r>
    </w:p>
    <w:p w14:paraId="7D72E51F">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w:t>
      </w:r>
      <w:r>
        <w:rPr>
          <w:rFonts w:hint="eastAsia" w:ascii="Times New Roman" w:hAnsi="Times New Roman" w:cs="Times New Roman" w:eastAsiaTheme="minorEastAsia"/>
          <w:sz w:val="30"/>
          <w:szCs w:val="30"/>
          <w:lang w:val="en-US" w:eastAsia="zh-CN"/>
        </w:rPr>
        <w:t>6</w:t>
      </w:r>
      <w:r>
        <w:rPr>
          <w:rFonts w:hint="default" w:ascii="Times New Roman" w:hAnsi="Times New Roman" w:cs="Times New Roman" w:eastAsiaTheme="minorEastAsia"/>
          <w:sz w:val="30"/>
          <w:szCs w:val="30"/>
          <w:lang w:val="en-US" w:eastAsia="zh-CN"/>
        </w:rPr>
        <w:t>]钟子龙,毛竹竹笋四季丰产关键培育技术示范与推广.浙江省,遂昌县大柘镇林业工作站,2015-09-26</w:t>
      </w:r>
    </w:p>
    <w:p w14:paraId="4442870B">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w:t>
      </w:r>
      <w:r>
        <w:rPr>
          <w:rFonts w:hint="eastAsia" w:ascii="Times New Roman" w:hAnsi="Times New Roman" w:cs="Times New Roman" w:eastAsiaTheme="minorEastAsia"/>
          <w:sz w:val="30"/>
          <w:szCs w:val="30"/>
          <w:lang w:val="en-US" w:eastAsia="zh-CN"/>
        </w:rPr>
        <w:t>7</w:t>
      </w:r>
      <w:r>
        <w:rPr>
          <w:rFonts w:hint="default" w:ascii="Times New Roman" w:hAnsi="Times New Roman" w:cs="Times New Roman" w:eastAsiaTheme="minorEastAsia"/>
          <w:sz w:val="30"/>
          <w:szCs w:val="30"/>
          <w:lang w:val="en-US" w:eastAsia="zh-CN"/>
        </w:rPr>
        <w:t>]王中伦,不同施肥量对南川区金佛山方竹笋产量的研究与示范.重庆市,重庆市南川区林业局,2010-11-20</w:t>
      </w:r>
    </w:p>
    <w:p w14:paraId="0755F0A0">
      <w:pPr>
        <w:spacing w:line="560" w:lineRule="exact"/>
        <w:ind w:firstLine="643"/>
        <w:rPr>
          <w:rFonts w:ascii="楷体" w:hAnsi="楷体" w:eastAsia="楷体" w:cs="仿宋_GB2312"/>
          <w:b/>
          <w:szCs w:val="28"/>
        </w:rPr>
      </w:pPr>
      <w:r>
        <w:rPr>
          <w:rFonts w:hint="eastAsia" w:ascii="楷体" w:hAnsi="楷体" w:eastAsia="楷体" w:cs="仿宋_GB2312"/>
          <w:b/>
          <w:szCs w:val="28"/>
        </w:rPr>
        <w:t>（三）研讨确定标准特色、创新点和主要内容</w:t>
      </w:r>
    </w:p>
    <w:p w14:paraId="5721C04A">
      <w:pPr>
        <w:ind w:firstLine="640"/>
        <w:rPr>
          <w:rFonts w:hint="default"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标准编制工作组在对收集的资料进行整理研究之后，2025年</w:t>
      </w:r>
      <w:r>
        <w:rPr>
          <w:rFonts w:hint="eastAsia" w:cs="Times New Roman" w:eastAsiaTheme="minorEastAsia"/>
          <w:sz w:val="30"/>
          <w:szCs w:val="30"/>
          <w:lang w:val="en-US" w:eastAsia="zh-CN"/>
        </w:rPr>
        <w:t>2</w:t>
      </w:r>
      <w:r>
        <w:rPr>
          <w:rFonts w:hint="eastAsia" w:ascii="Times New Roman" w:hAnsi="Times New Roman" w:cs="Times New Roman" w:eastAsiaTheme="minorEastAsia"/>
          <w:sz w:val="30"/>
          <w:szCs w:val="30"/>
          <w:lang w:val="en-US" w:eastAsia="zh-CN"/>
        </w:rPr>
        <w:t>月，标准编制工作组召开了标准编制会议，对标准的整体框架结构进行了研究，并对标准的关键性内容进行了初步探讨。经过研究，标准的主体内容确定为</w:t>
      </w:r>
      <w:bookmarkStart w:id="0" w:name="OLE_LINK3"/>
      <w:bookmarkStart w:id="1" w:name="OLE_LINK4"/>
      <w:r>
        <w:rPr>
          <w:rFonts w:hint="eastAsia" w:ascii="Times New Roman" w:hAnsi="Times New Roman" w:cs="Times New Roman" w:eastAsiaTheme="minorEastAsia"/>
          <w:sz w:val="30"/>
          <w:szCs w:val="30"/>
          <w:lang w:val="en-US" w:eastAsia="zh-CN"/>
        </w:rPr>
        <w:t>术语定义、</w:t>
      </w:r>
      <w:bookmarkEnd w:id="0"/>
      <w:bookmarkEnd w:id="1"/>
      <w:r>
        <w:rPr>
          <w:rFonts w:hint="eastAsia" w:ascii="Times New Roman" w:hAnsi="Times New Roman" w:cs="Times New Roman" w:eastAsiaTheme="minorEastAsia"/>
          <w:sz w:val="30"/>
          <w:szCs w:val="30"/>
          <w:lang w:val="en-US" w:eastAsia="zh-CN"/>
        </w:rPr>
        <w:t>评价指标体系、评价方法、数据采集。标准的核心技术及创新点在于：</w:t>
      </w:r>
    </w:p>
    <w:p w14:paraId="5911E311">
      <w:pPr>
        <w:ind w:firstLine="640"/>
        <w:rPr>
          <w:rFonts w:hint="default"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1、结合起草单位多年的麻竹笋用林测产经验，首次总结出了麻竹笋的科学测产方法；</w:t>
      </w:r>
    </w:p>
    <w:p w14:paraId="66B1D2C2">
      <w:pPr>
        <w:ind w:firstLine="640"/>
        <w:rPr>
          <w:rFonts w:hint="default"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2、</w:t>
      </w:r>
      <w:r>
        <w:rPr>
          <w:rFonts w:hint="default" w:ascii="Times New Roman" w:hAnsi="Times New Roman" w:cs="Times New Roman" w:eastAsiaTheme="minorEastAsia"/>
          <w:sz w:val="30"/>
          <w:szCs w:val="30"/>
          <w:lang w:val="en-US" w:eastAsia="zh-CN"/>
        </w:rPr>
        <w:t>以笋用麻竹为研究对象，分析麻竹出笋规律以及产量动态变化，促进笋用麻竹的科学经营、合理利用，为有针对性地实施麻竹林经营管理技术提供依据。</w:t>
      </w:r>
    </w:p>
    <w:p w14:paraId="795C4D9D">
      <w:pPr>
        <w:spacing w:line="560" w:lineRule="exact"/>
        <w:ind w:firstLine="643"/>
        <w:rPr>
          <w:rFonts w:ascii="楷体" w:hAnsi="楷体" w:eastAsia="楷体" w:cs="仿宋_GB2312"/>
          <w:b/>
          <w:szCs w:val="28"/>
        </w:rPr>
      </w:pPr>
      <w:r>
        <w:rPr>
          <w:rFonts w:hint="eastAsia" w:ascii="楷体" w:hAnsi="楷体" w:eastAsia="楷体" w:cs="仿宋_GB2312"/>
          <w:b/>
          <w:szCs w:val="28"/>
        </w:rPr>
        <w:t>（四）调研及形成草案、征求意见稿</w:t>
      </w:r>
    </w:p>
    <w:p w14:paraId="5F46AEA1">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2025年3月，标准起草工作小组进行了广泛调研工作，查阅了大量的国内外文献资料，对笋用麻竹林产量的前人研究成果进行系统总结。形成了标准的基本构架，召集</w:t>
      </w:r>
      <w:r>
        <w:rPr>
          <w:rFonts w:hint="default" w:ascii="Times New Roman" w:hAnsi="Times New Roman" w:cs="Times New Roman" w:eastAsiaTheme="minorEastAsia"/>
          <w:sz w:val="30"/>
          <w:szCs w:val="30"/>
          <w:lang w:val="en-US" w:eastAsia="zh-CN"/>
        </w:rPr>
        <w:t>广西壮族自治区林业科学研究院、柳州市林业技术推广站、柳州市柳南区龙汉岭林场、柳州市林业科学研究所</w:t>
      </w:r>
      <w:r>
        <w:rPr>
          <w:rFonts w:hint="eastAsia" w:ascii="Times New Roman" w:hAnsi="Times New Roman" w:cs="Times New Roman" w:eastAsiaTheme="minorEastAsia"/>
          <w:sz w:val="30"/>
          <w:szCs w:val="30"/>
          <w:lang w:val="en-US" w:eastAsia="zh-CN"/>
        </w:rPr>
        <w:t>对主要内容进行了讨论并对项目的工作进行了部署和安排。</w:t>
      </w:r>
    </w:p>
    <w:p w14:paraId="074D6000">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2025年4月，在前期工作的基础之上，通过理清逻辑脉络，整合已有的参考资料中有关技术要求，并结合竹笋测产的实际要求，按照简化、统一等原则编制完成团体标准《</w:t>
      </w:r>
      <w:r>
        <w:rPr>
          <w:rFonts w:hint="default" w:ascii="Times New Roman" w:hAnsi="Times New Roman" w:cs="Times New Roman" w:eastAsiaTheme="minorEastAsia"/>
          <w:sz w:val="30"/>
          <w:szCs w:val="30"/>
          <w:lang w:val="en-US" w:eastAsia="zh-CN"/>
        </w:rPr>
        <w:t>竹笋产量测定方法</w:t>
      </w:r>
      <w:r>
        <w:rPr>
          <w:rFonts w:hint="eastAsia" w:ascii="Times New Roman" w:hAnsi="Times New Roman" w:cs="Times New Roman" w:eastAsiaTheme="minorEastAsia"/>
          <w:sz w:val="30"/>
          <w:szCs w:val="30"/>
          <w:lang w:val="en-US" w:eastAsia="zh-CN"/>
        </w:rPr>
        <w:t>》（草案）。</w:t>
      </w:r>
    </w:p>
    <w:p w14:paraId="60A4E926">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2025年5月，标准起草工作组到</w:t>
      </w:r>
      <w:r>
        <w:rPr>
          <w:rFonts w:hint="default" w:ascii="Times New Roman" w:hAnsi="Times New Roman" w:cs="Times New Roman" w:eastAsiaTheme="minorEastAsia"/>
          <w:sz w:val="30"/>
          <w:szCs w:val="30"/>
          <w:lang w:val="en-US" w:eastAsia="zh-CN"/>
        </w:rPr>
        <w:t>广西壮族自治区林业科学研究院、柳州市林业技术推广站、柳州市柳南区龙汉岭林场、柳州市林业科学研究</w:t>
      </w:r>
      <w:r>
        <w:rPr>
          <w:rFonts w:hint="eastAsia" w:ascii="Times New Roman" w:hAnsi="Times New Roman" w:cs="Times New Roman" w:eastAsiaTheme="minorEastAsia"/>
          <w:sz w:val="30"/>
          <w:szCs w:val="30"/>
          <w:lang w:val="en-US" w:eastAsia="zh-CN"/>
        </w:rPr>
        <w:t>进行调研，开展试验验证，并实际征求意见，通过收集反馈了大量意见，标准编制工作组多次召开会议，对标准草案进行了反复修改和研究讨论。进一步讨论完善标准草案，形成团体标准《</w:t>
      </w:r>
      <w:bookmarkStart w:id="6" w:name="_GoBack"/>
      <w:bookmarkEnd w:id="6"/>
      <w:r>
        <w:rPr>
          <w:rFonts w:hint="default" w:ascii="Times New Roman" w:hAnsi="Times New Roman" w:cs="Times New Roman" w:eastAsiaTheme="minorEastAsia"/>
          <w:sz w:val="30"/>
          <w:szCs w:val="30"/>
          <w:lang w:val="en-US" w:eastAsia="zh-CN"/>
        </w:rPr>
        <w:t>竹笋产量测定方法</w:t>
      </w:r>
      <w:r>
        <w:rPr>
          <w:rFonts w:hint="eastAsia" w:ascii="Times New Roman" w:hAnsi="Times New Roman" w:cs="Times New Roman" w:eastAsiaTheme="minorEastAsia"/>
          <w:sz w:val="30"/>
          <w:szCs w:val="30"/>
          <w:lang w:val="en-US" w:eastAsia="zh-CN"/>
        </w:rPr>
        <w:t>》（征求意见稿）和（征求意见稿）编制说明。</w:t>
      </w:r>
    </w:p>
    <w:p w14:paraId="76BADCBB">
      <w:pPr>
        <w:autoSpaceDE w:val="0"/>
        <w:autoSpaceDN w:val="0"/>
        <w:adjustRightInd w:val="0"/>
        <w:ind w:firstLine="640"/>
        <w:jc w:val="left"/>
        <w:rPr>
          <w:rFonts w:eastAsia="黑体"/>
          <w:bCs/>
          <w:szCs w:val="32"/>
        </w:rPr>
      </w:pPr>
      <w:bookmarkStart w:id="2" w:name="_Toc526940083"/>
      <w:r>
        <w:rPr>
          <w:rFonts w:eastAsia="黑体"/>
          <w:bCs/>
          <w:szCs w:val="32"/>
        </w:rPr>
        <w:t>四、</w:t>
      </w:r>
      <w:bookmarkEnd w:id="2"/>
      <w:r>
        <w:rPr>
          <w:rFonts w:eastAsia="黑体"/>
          <w:bCs/>
          <w:szCs w:val="32"/>
        </w:rPr>
        <w:t>制定标准的原则和依据，与现行法律、法规的关系，与有关国家标准、行业标准的协调情况</w:t>
      </w:r>
    </w:p>
    <w:p w14:paraId="6DB23C37">
      <w:pPr>
        <w:pStyle w:val="15"/>
        <w:spacing w:line="560" w:lineRule="exact"/>
        <w:ind w:firstLine="643" w:firstLineChars="200"/>
        <w:outlineLvl w:val="1"/>
        <w:rPr>
          <w:rFonts w:hint="eastAsia" w:ascii="楷体" w:hAnsi="楷体" w:eastAsia="楷体" w:cs="仿宋_GB2312"/>
          <w:b/>
          <w:kern w:val="2"/>
          <w:sz w:val="32"/>
          <w:szCs w:val="28"/>
          <w:lang w:val="en-US" w:eastAsia="zh-CN" w:bidi="ar-SA"/>
        </w:rPr>
      </w:pPr>
      <w:r>
        <w:rPr>
          <w:rFonts w:hint="eastAsia" w:ascii="楷体" w:hAnsi="楷体" w:eastAsia="楷体" w:cs="仿宋_GB2312"/>
          <w:b/>
          <w:kern w:val="2"/>
          <w:sz w:val="32"/>
          <w:szCs w:val="28"/>
          <w:lang w:val="en-US" w:eastAsia="zh-CN" w:bidi="ar-SA"/>
        </w:rPr>
        <w:t>（一）编制原则</w:t>
      </w:r>
    </w:p>
    <w:p w14:paraId="6A101287">
      <w:pPr>
        <w:ind w:firstLine="640"/>
        <w:rPr>
          <w:rFonts w:hint="eastAsia" w:ascii="Times New Roman" w:hAnsi="Times New Roman" w:cs="Times New Roman" w:eastAsiaTheme="minorEastAsia"/>
          <w:b/>
          <w:bCs/>
          <w:sz w:val="30"/>
          <w:szCs w:val="30"/>
          <w:lang w:val="en-US" w:eastAsia="zh-CN"/>
        </w:rPr>
      </w:pPr>
      <w:r>
        <w:rPr>
          <w:rFonts w:hint="eastAsia" w:ascii="Times New Roman" w:hAnsi="Times New Roman" w:cs="Times New Roman" w:eastAsiaTheme="minorEastAsia"/>
          <w:b/>
          <w:bCs/>
          <w:sz w:val="30"/>
          <w:szCs w:val="30"/>
          <w:lang w:val="en-US" w:eastAsia="zh-CN"/>
        </w:rPr>
        <w:t>1．实用性原则</w:t>
      </w:r>
    </w:p>
    <w:p w14:paraId="3195E751">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本文件是在充分收集相关资料和文献，分析麻竹林发笋特性，在现有相关测产技术要求的基础上，结合编制单位多年相关经验而总结起草的，符合当前广西竹产业发展的方向，具有较强的实用性和可操作性。</w:t>
      </w:r>
    </w:p>
    <w:p w14:paraId="58CA44D5">
      <w:pPr>
        <w:ind w:firstLine="640"/>
        <w:rPr>
          <w:rFonts w:hint="eastAsia" w:ascii="Times New Roman" w:hAnsi="Times New Roman" w:cs="Times New Roman" w:eastAsiaTheme="minorEastAsia"/>
          <w:b/>
          <w:bCs/>
          <w:sz w:val="30"/>
          <w:szCs w:val="30"/>
          <w:lang w:val="en-US" w:eastAsia="zh-CN"/>
        </w:rPr>
      </w:pPr>
      <w:r>
        <w:rPr>
          <w:rFonts w:hint="eastAsia" w:ascii="Times New Roman" w:hAnsi="Times New Roman" w:cs="Times New Roman" w:eastAsiaTheme="minorEastAsia"/>
          <w:b/>
          <w:bCs/>
          <w:sz w:val="30"/>
          <w:szCs w:val="30"/>
          <w:lang w:val="en-US" w:eastAsia="zh-CN"/>
        </w:rPr>
        <w:t>2．协调性原则</w:t>
      </w:r>
    </w:p>
    <w:p w14:paraId="588DFBE3">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本文件编写过程中注意了与竹笋测产的相关法律法规协调问题，在内容上与现行法律法规、标准协调一致。</w:t>
      </w:r>
    </w:p>
    <w:p w14:paraId="0EECF612">
      <w:pPr>
        <w:ind w:firstLine="640"/>
        <w:rPr>
          <w:rFonts w:hint="eastAsia" w:ascii="Times New Roman" w:hAnsi="Times New Roman" w:cs="Times New Roman" w:eastAsiaTheme="minorEastAsia"/>
          <w:b/>
          <w:bCs/>
          <w:sz w:val="30"/>
          <w:szCs w:val="30"/>
          <w:lang w:val="en-US" w:eastAsia="zh-CN"/>
        </w:rPr>
      </w:pPr>
      <w:r>
        <w:rPr>
          <w:rFonts w:hint="eastAsia" w:ascii="Times New Roman" w:hAnsi="Times New Roman" w:cs="Times New Roman" w:eastAsiaTheme="minorEastAsia"/>
          <w:b/>
          <w:bCs/>
          <w:sz w:val="30"/>
          <w:szCs w:val="30"/>
          <w:lang w:val="en-US" w:eastAsia="zh-CN"/>
        </w:rPr>
        <w:t>3．规范性原则</w:t>
      </w:r>
    </w:p>
    <w:p w14:paraId="07F53290">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本文件严格参照GB/T 1.1—2020《标准化工作导则  第1部分：标准化文件的结构和起草规则》编写本标准的内容，保证标准的编写质量。</w:t>
      </w:r>
    </w:p>
    <w:p w14:paraId="352000C1">
      <w:pPr>
        <w:ind w:firstLine="640"/>
        <w:rPr>
          <w:rFonts w:hint="eastAsia" w:ascii="Times New Roman" w:hAnsi="Times New Roman" w:cs="Times New Roman" w:eastAsiaTheme="minorEastAsia"/>
          <w:b/>
          <w:bCs/>
          <w:sz w:val="30"/>
          <w:szCs w:val="30"/>
          <w:lang w:val="en-US" w:eastAsia="zh-CN"/>
        </w:rPr>
      </w:pPr>
      <w:r>
        <w:rPr>
          <w:rFonts w:hint="eastAsia" w:ascii="Times New Roman" w:hAnsi="Times New Roman" w:cs="Times New Roman" w:eastAsiaTheme="minorEastAsia"/>
          <w:b/>
          <w:bCs/>
          <w:sz w:val="30"/>
          <w:szCs w:val="30"/>
          <w:lang w:val="en-US" w:eastAsia="zh-CN"/>
        </w:rPr>
        <w:t>4．前瞻性原则</w:t>
      </w:r>
    </w:p>
    <w:p w14:paraId="7B8C6370">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本文件充分考虑广西竹产业发展趋势和需要，在标准中体现了个别特色性、前瞻性和先进性条款，作为对麻竹笋用林测产的技术指导。</w:t>
      </w:r>
    </w:p>
    <w:p w14:paraId="5055164D">
      <w:pPr>
        <w:pStyle w:val="15"/>
        <w:spacing w:line="560" w:lineRule="exact"/>
        <w:ind w:firstLine="643" w:firstLineChars="200"/>
        <w:outlineLvl w:val="1"/>
        <w:rPr>
          <w:rFonts w:hint="eastAsia" w:ascii="楷体" w:hAnsi="楷体" w:eastAsia="楷体" w:cs="仿宋_GB2312"/>
          <w:b/>
          <w:kern w:val="2"/>
          <w:sz w:val="32"/>
          <w:szCs w:val="28"/>
          <w:lang w:val="en-US" w:eastAsia="zh-CN" w:bidi="ar-SA"/>
        </w:rPr>
      </w:pPr>
      <w:r>
        <w:rPr>
          <w:rFonts w:hint="eastAsia" w:ascii="楷体" w:hAnsi="楷体" w:eastAsia="楷体" w:cs="仿宋_GB2312"/>
          <w:b/>
          <w:kern w:val="2"/>
          <w:sz w:val="32"/>
          <w:szCs w:val="28"/>
          <w:lang w:val="en-US" w:eastAsia="zh-CN" w:bidi="ar-SA"/>
        </w:rPr>
        <w:t>（二）编制依据</w:t>
      </w:r>
    </w:p>
    <w:p w14:paraId="017A0C5A">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本标准严格按照GB/T 1.1—2020《标准化工作导则  第1部分：标准化文件的结构和起草规则》的规则起草，标准主要内容参考相关标准文件并结合起草单位多年的相关经验和实践验证情况总结进行起草：</w:t>
      </w:r>
    </w:p>
    <w:p w14:paraId="3D5A2068">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起草单位广西林科院竹类研究团是广西区内唯一从事竹类栽培技术研究的省部级科研机构。在笋用林种质资源收集、种苗繁育、笋用竹高效培育等方面积累了大量的经验。近十多年来，完成了竹类多领域省部级科技攻关与技术推广等科研项目10余项，建立了麻竹高产示范林3000亩，收集笋用竹种10余种。编制地方标准、团体标准3项，发表论文10余篇，授权国家林业和草原局植物新品种2项，申请国家发明专利5项。编著有《麻竹栽培实用技术》、《广西竹种及其栽培》、《广西竹类植物》等著作。</w:t>
      </w:r>
    </w:p>
    <w:p w14:paraId="4BB8176F">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2017年与柳州市林业和园林局签署合作协议，指导柳州螺蛳粉原料（竹笋）供应基地建设；培训螺蛳粉原料管理人员和技术人员，每年不少于6次；合作开展研究和制定无公害栽培技术等标准；编制柳州市螺蛳粉原料（竹笋）供应基地发展规划；发布了广西团体标准《柳州螺蛳粉原料竹笋无公害生产技术规程》、《柳州螺蛳粉原料 竹笋容器育苗技术规程》、《柳州螺蛳粉原料 竹笋示范基地建设规范》。2020年实施国家林业和草原局中央财政林业科技推广示范项目“柳州螺蛳粉原料竹笋丰产栽培技术示范推广”，3年生竹笋亩产达3800斤；实施2022年中央财政林业科技推广示范项目</w:t>
      </w:r>
      <w:bookmarkStart w:id="3" w:name="OLE_LINK10"/>
      <w:r>
        <w:rPr>
          <w:rFonts w:hint="eastAsia" w:ascii="Times New Roman" w:hAnsi="Times New Roman" w:cs="Times New Roman" w:eastAsiaTheme="minorEastAsia"/>
          <w:sz w:val="30"/>
          <w:szCs w:val="30"/>
          <w:lang w:val="en-US" w:eastAsia="zh-CN"/>
        </w:rPr>
        <w:t>“麻竹低产林综合改造技术示范与推广”</w:t>
      </w:r>
      <w:bookmarkEnd w:id="3"/>
      <w:r>
        <w:rPr>
          <w:rFonts w:hint="eastAsia" w:ascii="Times New Roman" w:hAnsi="Times New Roman" w:cs="Times New Roman" w:eastAsiaTheme="minorEastAsia"/>
          <w:sz w:val="30"/>
          <w:szCs w:val="30"/>
          <w:lang w:val="en-US" w:eastAsia="zh-CN"/>
        </w:rPr>
        <w:t>，麻竹改造示范林2024年鲜笋产量，每亩1255.9公斤，比改造前每亩增产828.4公斤。</w:t>
      </w:r>
    </w:p>
    <w:p w14:paraId="5491BE8D">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综上所述，本团对具有制定本标准较好的工作基础和技术，可以按时按质完成任务。</w:t>
      </w:r>
    </w:p>
    <w:p w14:paraId="7190718E">
      <w:pPr>
        <w:widowControl/>
        <w:tabs>
          <w:tab w:val="center" w:pos="4201"/>
          <w:tab w:val="right" w:leader="dot" w:pos="9298"/>
        </w:tabs>
        <w:autoSpaceDE w:val="0"/>
        <w:autoSpaceDN w:val="0"/>
        <w:spacing w:line="560" w:lineRule="exact"/>
        <w:ind w:firstLine="643"/>
        <w:outlineLvl w:val="1"/>
        <w:rPr>
          <w:rFonts w:eastAsia="仿宋"/>
          <w:b/>
          <w:bCs/>
          <w:kern w:val="0"/>
          <w:szCs w:val="32"/>
        </w:rPr>
      </w:pPr>
      <w:r>
        <w:rPr>
          <w:rFonts w:eastAsia="仿宋"/>
          <w:b/>
          <w:bCs/>
          <w:kern w:val="0"/>
          <w:szCs w:val="32"/>
        </w:rPr>
        <w:t>（三）与现行法律、法规的关系，与有关国家标准、行业标准的协调情况</w:t>
      </w:r>
    </w:p>
    <w:p w14:paraId="0424729D">
      <w:pPr>
        <w:ind w:firstLine="640"/>
        <w:jc w:val="both"/>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本编制工作组承诺本标准内容与各项指标不违反相关法律法规要求，且不低于国家强制性标准、推荐性国家标准和行业标准要求。</w:t>
      </w:r>
    </w:p>
    <w:p w14:paraId="4570BF3E">
      <w:pPr>
        <w:ind w:firstLine="640"/>
        <w:jc w:val="both"/>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经查询，目前，关于竹笋的标准以丰产栽培为主，如：《</w:t>
      </w:r>
      <w:r>
        <w:rPr>
          <w:rFonts w:hint="eastAsia" w:ascii="Times New Roman" w:hAnsi="Times New Roman" w:cs="Times New Roman" w:eastAsiaTheme="minorEastAsia"/>
          <w:sz w:val="30"/>
          <w:szCs w:val="30"/>
          <w:lang w:val="en-US" w:eastAsia="zh-CN"/>
        </w:rPr>
        <w:fldChar w:fldCharType="begin"/>
      </w:r>
      <w:r>
        <w:rPr>
          <w:rFonts w:hint="eastAsia" w:ascii="Times New Roman" w:hAnsi="Times New Roman" w:cs="Times New Roman" w:eastAsiaTheme="minorEastAsia"/>
          <w:sz w:val="30"/>
          <w:szCs w:val="30"/>
          <w:lang w:val="en-US" w:eastAsia="zh-CN"/>
        </w:rPr>
        <w:instrText xml:space="preserve"> HYPERLINK "http://std.samr.gov.cn/hb/search/stdHBDetailed?id=8B1827F231DABB19E05397BE0A0AB44A" \t "http://std.samr.gov.cn/search/_blank" </w:instrText>
      </w:r>
      <w:r>
        <w:rPr>
          <w:rFonts w:hint="eastAsia" w:ascii="Times New Roman" w:hAnsi="Times New Roman" w:cs="Times New Roman" w:eastAsiaTheme="minorEastAsia"/>
          <w:sz w:val="30"/>
          <w:szCs w:val="30"/>
          <w:lang w:val="en-US" w:eastAsia="zh-CN"/>
        </w:rPr>
        <w:fldChar w:fldCharType="separate"/>
      </w:r>
      <w:r>
        <w:rPr>
          <w:rFonts w:hint="eastAsia" w:ascii="Times New Roman" w:hAnsi="Times New Roman" w:cs="Times New Roman" w:eastAsiaTheme="minorEastAsia"/>
          <w:sz w:val="30"/>
          <w:szCs w:val="30"/>
          <w:lang w:val="en-US" w:eastAsia="zh-CN"/>
        </w:rPr>
        <w:t>笋用丛生竹培育技术规程</w:t>
      </w:r>
      <w:r>
        <w:rPr>
          <w:rFonts w:hint="eastAsia" w:ascii="Times New Roman" w:hAnsi="Times New Roman" w:cs="Times New Roman" w:eastAsiaTheme="minorEastAsia"/>
          <w:sz w:val="30"/>
          <w:szCs w:val="30"/>
          <w:lang w:val="en-US" w:eastAsia="zh-CN"/>
        </w:rPr>
        <w:fldChar w:fldCharType="end"/>
      </w:r>
      <w:r>
        <w:rPr>
          <w:rFonts w:hint="eastAsia" w:ascii="Times New Roman" w:hAnsi="Times New Roman" w:cs="Times New Roman" w:eastAsiaTheme="minorEastAsia"/>
          <w:sz w:val="30"/>
          <w:szCs w:val="30"/>
          <w:lang w:val="en-US" w:eastAsia="zh-CN"/>
        </w:rPr>
        <w:t>》（LY/T 2624-2016）；《</w:t>
      </w:r>
      <w:r>
        <w:rPr>
          <w:rFonts w:hint="eastAsia" w:ascii="Times New Roman" w:hAnsi="Times New Roman" w:cs="Times New Roman" w:eastAsiaTheme="minorEastAsia"/>
          <w:sz w:val="30"/>
          <w:szCs w:val="30"/>
          <w:lang w:val="en-US" w:eastAsia="zh-CN"/>
        </w:rPr>
        <w:fldChar w:fldCharType="begin"/>
      </w:r>
      <w:r>
        <w:rPr>
          <w:rFonts w:hint="eastAsia" w:ascii="Times New Roman" w:hAnsi="Times New Roman" w:cs="Times New Roman" w:eastAsiaTheme="minorEastAsia"/>
          <w:sz w:val="30"/>
          <w:szCs w:val="30"/>
          <w:lang w:val="en-US" w:eastAsia="zh-CN"/>
        </w:rPr>
        <w:instrText xml:space="preserve"> HYPERLINK "http://std.samr.gov.cn/hb/search/stdHBDetailed?id=8B1827F157F3BB19E05397BE0A0AB44A" \t "http://std.samr.gov.cn/search/_blank" </w:instrText>
      </w:r>
      <w:r>
        <w:rPr>
          <w:rFonts w:hint="eastAsia" w:ascii="Times New Roman" w:hAnsi="Times New Roman" w:cs="Times New Roman" w:eastAsiaTheme="minorEastAsia"/>
          <w:sz w:val="30"/>
          <w:szCs w:val="30"/>
          <w:lang w:val="en-US" w:eastAsia="zh-CN"/>
        </w:rPr>
        <w:fldChar w:fldCharType="separate"/>
      </w:r>
      <w:r>
        <w:rPr>
          <w:rFonts w:hint="eastAsia" w:ascii="Times New Roman" w:hAnsi="Times New Roman" w:cs="Times New Roman" w:eastAsiaTheme="minorEastAsia"/>
          <w:sz w:val="30"/>
          <w:szCs w:val="30"/>
          <w:lang w:val="en-US" w:eastAsia="zh-CN"/>
        </w:rPr>
        <w:t>麻竹栽培技术规程</w:t>
      </w:r>
      <w:r>
        <w:rPr>
          <w:rFonts w:hint="eastAsia" w:ascii="Times New Roman" w:hAnsi="Times New Roman" w:cs="Times New Roman" w:eastAsiaTheme="minorEastAsia"/>
          <w:sz w:val="30"/>
          <w:szCs w:val="30"/>
          <w:lang w:val="en-US" w:eastAsia="zh-CN"/>
        </w:rPr>
        <w:fldChar w:fldCharType="end"/>
      </w:r>
      <w:r>
        <w:rPr>
          <w:rFonts w:hint="eastAsia" w:ascii="Times New Roman" w:hAnsi="Times New Roman" w:cs="Times New Roman" w:eastAsiaTheme="minorEastAsia"/>
          <w:sz w:val="30"/>
          <w:szCs w:val="30"/>
          <w:lang w:val="en-US" w:eastAsia="zh-CN"/>
        </w:rPr>
        <w:t>》（LY/T 2338-2014）；《</w:t>
      </w:r>
      <w:r>
        <w:rPr>
          <w:rFonts w:hint="eastAsia" w:ascii="Times New Roman" w:hAnsi="Times New Roman" w:cs="Times New Roman" w:eastAsiaTheme="minorEastAsia"/>
          <w:sz w:val="30"/>
          <w:szCs w:val="30"/>
          <w:lang w:val="en-US" w:eastAsia="zh-CN"/>
        </w:rPr>
        <w:fldChar w:fldCharType="begin"/>
      </w:r>
      <w:r>
        <w:rPr>
          <w:rFonts w:hint="eastAsia" w:ascii="Times New Roman" w:hAnsi="Times New Roman" w:cs="Times New Roman" w:eastAsiaTheme="minorEastAsia"/>
          <w:sz w:val="30"/>
          <w:szCs w:val="30"/>
          <w:lang w:val="en-US" w:eastAsia="zh-CN"/>
        </w:rPr>
        <w:instrText xml:space="preserve"> HYPERLINK "http://std.samr.gov.cn/hb/search/stdHBDetailed?id=8B1827F1CA7BBB19E05397BE0A0AB44A" \t "http://std.samr.gov.cn/search/_blank" </w:instrText>
      </w:r>
      <w:r>
        <w:rPr>
          <w:rFonts w:hint="eastAsia" w:ascii="Times New Roman" w:hAnsi="Times New Roman" w:cs="Times New Roman" w:eastAsiaTheme="minorEastAsia"/>
          <w:sz w:val="30"/>
          <w:szCs w:val="30"/>
          <w:lang w:val="en-US" w:eastAsia="zh-CN"/>
        </w:rPr>
        <w:fldChar w:fldCharType="separate"/>
      </w:r>
      <w:r>
        <w:rPr>
          <w:rFonts w:hint="eastAsia" w:ascii="Times New Roman" w:hAnsi="Times New Roman" w:cs="Times New Roman" w:eastAsiaTheme="minorEastAsia"/>
          <w:sz w:val="30"/>
          <w:szCs w:val="30"/>
          <w:lang w:val="en-US" w:eastAsia="zh-CN"/>
        </w:rPr>
        <w:t>麻竹扦插育苗技术规程</w:t>
      </w:r>
      <w:r>
        <w:rPr>
          <w:rFonts w:hint="eastAsia" w:ascii="Times New Roman" w:hAnsi="Times New Roman" w:cs="Times New Roman" w:eastAsiaTheme="minorEastAsia"/>
          <w:sz w:val="30"/>
          <w:szCs w:val="30"/>
          <w:lang w:val="en-US" w:eastAsia="zh-CN"/>
        </w:rPr>
        <w:fldChar w:fldCharType="end"/>
      </w:r>
      <w:r>
        <w:rPr>
          <w:rFonts w:hint="eastAsia" w:ascii="Times New Roman" w:hAnsi="Times New Roman" w:cs="Times New Roman" w:eastAsiaTheme="minorEastAsia"/>
          <w:sz w:val="30"/>
          <w:szCs w:val="30"/>
          <w:lang w:val="en-US" w:eastAsia="zh-CN"/>
        </w:rPr>
        <w:t>》（LY/T 1905-2010）；《无公害林产品生产技术规程 麻竹笋用林》（DB 51/T 502-2005）；《麻竹笋栽培技术规程》（DB44/T358-2006）；《地地标志产品　西牛麻竹笋》（DB 44/T 671-2009）；《地地标志产品　西牛麻竹笋》（DB 44/T 672-2009）；《麻竹、绿竹丰产培育技术》（DB35/T 83-1996），没有发现丛生竹笋产量测定方法相关技术标准。</w:t>
      </w:r>
    </w:p>
    <w:p w14:paraId="6E7194DB">
      <w:pPr>
        <w:autoSpaceDE w:val="0"/>
        <w:autoSpaceDN w:val="0"/>
        <w:adjustRightInd w:val="0"/>
        <w:spacing w:line="560" w:lineRule="exact"/>
        <w:jc w:val="left"/>
        <w:rPr>
          <w:rFonts w:ascii="黑体" w:hAnsi="黑体" w:eastAsia="黑体" w:cs="仿宋_GB2312"/>
          <w:szCs w:val="32"/>
        </w:rPr>
      </w:pPr>
      <w:bookmarkStart w:id="4" w:name="_Toc526940084"/>
      <w:r>
        <w:rPr>
          <w:rFonts w:hint="eastAsia" w:ascii="黑体" w:hAnsi="黑体" w:eastAsia="黑体" w:cs="仿宋_GB2312"/>
          <w:szCs w:val="32"/>
        </w:rPr>
        <w:t>五、</w:t>
      </w:r>
      <w:bookmarkEnd w:id="4"/>
      <w:r>
        <w:rPr>
          <w:rFonts w:hint="eastAsia" w:ascii="黑体" w:hAnsi="黑体" w:eastAsia="黑体" w:cs="仿宋_GB2312"/>
          <w:szCs w:val="32"/>
        </w:rPr>
        <w:t>主要条款的说明</w:t>
      </w:r>
    </w:p>
    <w:p w14:paraId="0D67E86F">
      <w:pPr>
        <w:ind w:firstLine="640"/>
        <w:rPr>
          <w:rFonts w:hint="eastAsia" w:ascii="Times New Roman" w:hAnsi="Times New Roman" w:cs="Times New Roman" w:eastAsiaTheme="minorEastAsia"/>
          <w:sz w:val="30"/>
          <w:szCs w:val="30"/>
          <w:lang w:val="zh-CN" w:eastAsia="zh-CN"/>
        </w:rPr>
      </w:pPr>
      <w:r>
        <w:rPr>
          <w:rFonts w:hint="eastAsia" w:ascii="Times New Roman" w:hAnsi="Times New Roman" w:cs="Times New Roman" w:eastAsiaTheme="minorEastAsia"/>
          <w:sz w:val="30"/>
          <w:szCs w:val="30"/>
          <w:lang w:val="zh-CN" w:eastAsia="zh-CN"/>
        </w:rPr>
        <w:t>团体标准《</w:t>
      </w:r>
      <w:r>
        <w:rPr>
          <w:rFonts w:hint="default" w:ascii="Times New Roman" w:hAnsi="Times New Roman" w:cs="Times New Roman" w:eastAsiaTheme="minorEastAsia"/>
          <w:sz w:val="30"/>
          <w:szCs w:val="30"/>
          <w:lang w:val="en-US" w:eastAsia="zh-CN"/>
        </w:rPr>
        <w:t>竹笋产量测定方法</w:t>
      </w:r>
      <w:r>
        <w:rPr>
          <w:rFonts w:hint="eastAsia" w:ascii="Times New Roman" w:hAnsi="Times New Roman" w:cs="Times New Roman" w:eastAsiaTheme="minorEastAsia"/>
          <w:sz w:val="30"/>
          <w:szCs w:val="30"/>
          <w:lang w:val="zh-CN" w:eastAsia="zh-CN"/>
        </w:rPr>
        <w:t>》的主要章节内容包</w:t>
      </w:r>
      <w:r>
        <w:rPr>
          <w:rFonts w:hint="eastAsia" w:ascii="Times New Roman" w:hAnsi="Times New Roman" w:cs="Times New Roman" w:eastAsiaTheme="minorEastAsia"/>
          <w:sz w:val="30"/>
          <w:szCs w:val="30"/>
          <w:lang w:val="en-US" w:eastAsia="zh-CN"/>
        </w:rPr>
        <w:t>术语和定义、测定方法、测产报告</w:t>
      </w:r>
      <w:r>
        <w:rPr>
          <w:rFonts w:hint="eastAsia" w:ascii="Times New Roman" w:hAnsi="Times New Roman" w:cs="Times New Roman" w:eastAsiaTheme="minorEastAsia"/>
          <w:sz w:val="30"/>
          <w:szCs w:val="30"/>
          <w:lang w:val="zh-CN" w:eastAsia="zh-CN"/>
        </w:rPr>
        <w:t>。本文件主要内容及依据来源说明如下：</w:t>
      </w:r>
      <w:bookmarkStart w:id="5" w:name="_Toc526940086"/>
    </w:p>
    <w:p w14:paraId="195C4EE1">
      <w:pPr>
        <w:autoSpaceDE w:val="0"/>
        <w:autoSpaceDN w:val="0"/>
        <w:adjustRightInd w:val="0"/>
        <w:spacing w:line="560" w:lineRule="exact"/>
        <w:ind w:firstLine="640" w:firstLineChars="0"/>
        <w:jc w:val="left"/>
        <w:rPr>
          <w:rFonts w:ascii="黑体" w:hAnsi="黑体" w:eastAsia="黑体" w:cs="仿宋_GB2312"/>
          <w:szCs w:val="32"/>
        </w:rPr>
      </w:pPr>
      <w:r>
        <w:rPr>
          <w:rFonts w:hint="eastAsia" w:ascii="黑体" w:hAnsi="黑体" w:eastAsia="黑体" w:cs="仿宋_GB2312"/>
          <w:szCs w:val="32"/>
        </w:rPr>
        <w:t>（一）术语和定义</w:t>
      </w:r>
    </w:p>
    <w:p w14:paraId="722D1CE2">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幼笋</w:t>
      </w:r>
      <w:r>
        <w:rPr>
          <w:rFonts w:hint="eastAsia" w:ascii="Times New Roman" w:hAnsi="Times New Roman" w:cs="Times New Roman" w:eastAsiaTheme="minorEastAsia"/>
          <w:sz w:val="30"/>
          <w:szCs w:val="30"/>
          <w:lang w:val="zh-CN" w:eastAsia="zh-CN"/>
        </w:rPr>
        <w:t>：</w:t>
      </w:r>
      <w:r>
        <w:rPr>
          <w:rFonts w:hint="eastAsia" w:ascii="Times New Roman" w:hAnsi="Times New Roman" w:cs="Times New Roman" w:eastAsiaTheme="minorEastAsia"/>
          <w:sz w:val="30"/>
          <w:szCs w:val="30"/>
          <w:lang w:val="en-US" w:eastAsia="zh-CN"/>
        </w:rPr>
        <w:t>根据竹笋规格标准，</w:t>
      </w:r>
      <w:r>
        <w:rPr>
          <w:rFonts w:hint="eastAsia" w:ascii="Times New Roman" w:hAnsi="Times New Roman" w:cs="Times New Roman" w:eastAsiaTheme="minorEastAsia"/>
          <w:sz w:val="30"/>
          <w:szCs w:val="30"/>
          <w:lang w:val="zh-CN" w:eastAsia="zh-CN"/>
        </w:rPr>
        <w:t>未达到采收标准的竹笋，</w:t>
      </w:r>
      <w:r>
        <w:rPr>
          <w:rFonts w:hint="eastAsia" w:ascii="Times New Roman" w:hAnsi="Times New Roman" w:cs="Times New Roman" w:eastAsiaTheme="minorEastAsia"/>
          <w:sz w:val="30"/>
          <w:szCs w:val="30"/>
          <w:lang w:val="en-US" w:eastAsia="zh-CN"/>
        </w:rPr>
        <w:t>称为幼笋</w:t>
      </w:r>
      <w:r>
        <w:rPr>
          <w:rFonts w:hint="eastAsia" w:ascii="Times New Roman" w:hAnsi="Times New Roman" w:cs="Times New Roman" w:eastAsiaTheme="minorEastAsia"/>
          <w:sz w:val="30"/>
          <w:szCs w:val="30"/>
          <w:lang w:val="zh-CN" w:eastAsia="zh-CN"/>
        </w:rPr>
        <w:t>。</w:t>
      </w:r>
      <w:r>
        <w:rPr>
          <w:rFonts w:hint="eastAsia" w:ascii="Times New Roman" w:hAnsi="Times New Roman" w:cs="Times New Roman" w:eastAsiaTheme="minorEastAsia"/>
          <w:sz w:val="30"/>
          <w:szCs w:val="30"/>
          <w:lang w:val="en-US" w:eastAsia="zh-CN"/>
        </w:rPr>
        <w:t>幼笋在广西麻竹产区主要有2种规格，以螺蛳粉原材料为主的麻竹笋，竹笋高度小于70cm，称为幼笋；广西百色田林地区以笋干为主的麻竹笋，竹笋高度小于100cm，亦称为幼笋。</w:t>
      </w:r>
    </w:p>
    <w:p w14:paraId="418A52F3">
      <w:pPr>
        <w:ind w:firstLine="640"/>
        <w:rPr>
          <w:rFonts w:hint="default" w:ascii="Times New Roman" w:hAnsi="Times New Roman" w:cs="Times New Roman" w:eastAsiaTheme="minorEastAsia"/>
          <w:kern w:val="2"/>
          <w:sz w:val="30"/>
          <w:szCs w:val="30"/>
          <w:lang w:val="en-US" w:eastAsia="zh-CN" w:bidi="ar-SA"/>
        </w:rPr>
      </w:pPr>
      <w:r>
        <w:rPr>
          <w:rFonts w:hint="eastAsia" w:ascii="Times New Roman" w:hAnsi="Times New Roman" w:cs="Times New Roman" w:eastAsiaTheme="minorEastAsia"/>
          <w:kern w:val="2"/>
          <w:sz w:val="30"/>
          <w:szCs w:val="30"/>
          <w:lang w:val="en-US" w:eastAsia="zh-CN" w:bidi="ar-SA"/>
        </w:rPr>
        <w:t>笋桩</w:t>
      </w:r>
      <w:r>
        <w:rPr>
          <w:rFonts w:hint="eastAsia" w:ascii="Times New Roman" w:cs="Times New Roman" w:eastAsiaTheme="minorEastAsia"/>
          <w:kern w:val="2"/>
          <w:sz w:val="30"/>
          <w:szCs w:val="30"/>
          <w:lang w:val="en-US" w:eastAsia="zh-CN" w:bidi="ar-SA"/>
        </w:rPr>
        <w:t>：根据中华人民共和国国家标准《竹子名称术语》，未见关于笋桩的描述。因此，本标准根据</w:t>
      </w:r>
      <w:r>
        <w:rPr>
          <w:rFonts w:hint="eastAsia" w:cs="Times New Roman" w:eastAsiaTheme="minorEastAsia"/>
          <w:kern w:val="2"/>
          <w:sz w:val="30"/>
          <w:szCs w:val="30"/>
          <w:lang w:val="en-US" w:eastAsia="zh-CN" w:bidi="ar-SA"/>
        </w:rPr>
        <w:t>竹笋采收后的特性，专门做了定义，笋桩</w:t>
      </w:r>
      <w:r>
        <w:rPr>
          <w:rFonts w:hint="eastAsia" w:ascii="Times New Roman" w:hAnsi="Times New Roman" w:cs="Times New Roman" w:eastAsiaTheme="minorEastAsia"/>
          <w:kern w:val="2"/>
          <w:sz w:val="30"/>
          <w:szCs w:val="30"/>
          <w:lang w:val="en-US" w:eastAsia="zh-CN" w:bidi="ar-SA"/>
        </w:rPr>
        <w:t>又称笋穴，指竹笋采伐后残留地表的部分</w:t>
      </w:r>
      <w:r>
        <w:rPr>
          <w:rFonts w:hint="eastAsia" w:ascii="Times New Roman" w:cs="Times New Roman" w:eastAsiaTheme="minorEastAsia"/>
          <w:kern w:val="2"/>
          <w:sz w:val="30"/>
          <w:szCs w:val="30"/>
          <w:lang w:val="en-US" w:eastAsia="zh-CN" w:bidi="ar-SA"/>
        </w:rPr>
        <w:t>。</w:t>
      </w:r>
    </w:p>
    <w:p w14:paraId="73B7245E">
      <w:pPr>
        <w:numPr>
          <w:ilvl w:val="0"/>
          <w:numId w:val="17"/>
        </w:numPr>
        <w:autoSpaceDE w:val="0"/>
        <w:autoSpaceDN w:val="0"/>
        <w:adjustRightInd w:val="0"/>
        <w:spacing w:line="560" w:lineRule="exact"/>
        <w:ind w:firstLine="640" w:firstLineChars="0"/>
        <w:jc w:val="left"/>
        <w:rPr>
          <w:rFonts w:hint="eastAsia" w:ascii="黑体" w:hAnsi="黑体" w:eastAsia="黑体" w:cs="仿宋_GB2312"/>
          <w:szCs w:val="32"/>
          <w:lang w:val="en-US" w:eastAsia="zh-CN"/>
        </w:rPr>
      </w:pPr>
      <w:r>
        <w:rPr>
          <w:rFonts w:hint="eastAsia" w:ascii="黑体" w:hAnsi="黑体" w:eastAsia="黑体" w:cs="仿宋_GB2312"/>
          <w:szCs w:val="32"/>
          <w:lang w:val="en-US" w:eastAsia="zh-CN"/>
        </w:rPr>
        <w:t>测定方法</w:t>
      </w:r>
    </w:p>
    <w:p w14:paraId="2FDA95B0">
      <w:pPr>
        <w:ind w:firstLine="640"/>
        <w:jc w:val="both"/>
        <w:rPr>
          <w:rFonts w:hint="default"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2.1样地选择</w:t>
      </w:r>
    </w:p>
    <w:p w14:paraId="07C65B90">
      <w:pPr>
        <w:ind w:firstLine="640"/>
        <w:jc w:val="both"/>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随机取点的必要性</w:t>
      </w:r>
      <w:r>
        <w:rPr>
          <w:rFonts w:hint="eastAsia"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消除人为选择偏差，确保样地代表整体林分特征（如坡度、土壤厚度等）</w:t>
      </w:r>
      <w:r>
        <w:rPr>
          <w:rFonts w:hint="eastAsia"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符合《森林资源规划设计调查技术规程》（GB/T 26424-2010）对抽样随机性的要求</w:t>
      </w:r>
    </w:p>
    <w:p w14:paraId="17FFDAAE">
      <w:pPr>
        <w:ind w:firstLine="640"/>
        <w:jc w:val="both"/>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等距抽样的优势</w:t>
      </w:r>
      <w:r>
        <w:rPr>
          <w:rFonts w:hint="eastAsia"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在随机起点基础上按固定间隔（建议50-100米）布点，兼顾空间均匀性与操作可行性</w:t>
      </w:r>
    </w:p>
    <w:p w14:paraId="451B66E9">
      <w:pPr>
        <w:ind w:firstLine="640"/>
        <w:jc w:val="both"/>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3个自然地块的统计学意义</w:t>
      </w:r>
      <w:r>
        <w:rPr>
          <w:rFonts w:hint="eastAsia"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通过ANOVA方差分析验证，3个独立大样本（建议≥1亩/块）可满足95%置信区间要求</w:t>
      </w:r>
      <w:r>
        <w:rPr>
          <w:rFonts w:hint="eastAsia"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覆盖林分内异质性区域（如坡向差异地块）以提高数据可靠性</w:t>
      </w:r>
    </w:p>
    <w:p w14:paraId="340585BD">
      <w:pPr>
        <w:ind w:firstLine="640"/>
        <w:rPr>
          <w:rFonts w:hint="eastAsia" w:ascii="Times New Roman" w:hAnsi="Times New Roman" w:cs="Times New Roman" w:eastAsiaTheme="minorEastAsia"/>
          <w:sz w:val="30"/>
          <w:szCs w:val="30"/>
          <w:lang w:val="zh-CN" w:eastAsia="zh-CN"/>
        </w:rPr>
      </w:pPr>
      <w:r>
        <w:rPr>
          <w:rFonts w:hint="eastAsia" w:ascii="Times New Roman" w:hAnsi="Times New Roman" w:cs="Times New Roman" w:eastAsiaTheme="minorEastAsia"/>
          <w:sz w:val="30"/>
          <w:szCs w:val="30"/>
          <w:lang w:val="en-US" w:eastAsia="zh-CN"/>
        </w:rPr>
        <w:t xml:space="preserve">2.2 </w:t>
      </w:r>
      <w:r>
        <w:rPr>
          <w:rFonts w:hint="eastAsia" w:ascii="Times New Roman" w:hAnsi="Times New Roman" w:cs="Times New Roman" w:eastAsiaTheme="minorEastAsia"/>
          <w:sz w:val="30"/>
          <w:szCs w:val="30"/>
          <w:lang w:val="zh-CN" w:eastAsia="zh-CN"/>
        </w:rPr>
        <w:t>测产方法</w:t>
      </w:r>
    </w:p>
    <w:p w14:paraId="10281F8C">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根据实际出笋情况，每间隔1~3</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d观测1次，调查各试验竹丛的最早出笋时间、统计出笋数量(以笋尖露出地面为标准)。每次观测当天，同时采收出笋高度符合柳州市采收规格的，且笋体饱满、无病虫害、无损伤的新鲜麻竹笋，并逐个称重，记录带壳笋鲜重（</w:t>
      </w:r>
      <w:r>
        <w:rPr>
          <w:rFonts w:hint="eastAsia" w:ascii="Times New Roman" w:hAnsi="Times New Roman" w:cs="Times New Roman" w:eastAsiaTheme="minorEastAsia"/>
          <w:sz w:val="30"/>
          <w:szCs w:val="30"/>
          <w:lang w:val="en-US" w:eastAsia="zh-CN"/>
        </w:rPr>
        <w:t>kg</w:t>
      </w:r>
      <w:r>
        <w:rPr>
          <w:rFonts w:hint="default" w:ascii="Times New Roman" w:hAnsi="Times New Roman" w:cs="Times New Roman" w:eastAsiaTheme="minorEastAsia"/>
          <w:sz w:val="30"/>
          <w:szCs w:val="30"/>
          <w:lang w:val="en-US" w:eastAsia="zh-CN"/>
        </w:rPr>
        <w:t>），统计产量。</w:t>
      </w:r>
    </w:p>
    <w:p w14:paraId="42147FD0">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麻竹出笋规律分析</w:t>
      </w:r>
      <w:r>
        <w:rPr>
          <w:rFonts w:hint="eastAsia" w:ascii="Times New Roman" w:hAnsi="Times New Roman"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调查表明，该麻竹示范林5月末才有少数出笋，因此自6月初开始记录出笋数量。由图1可知，麻竹出笋期可持续约4个月，其出笋数量随时间变化总体呈现为</w:t>
      </w:r>
      <w:r>
        <w:rPr>
          <w:rFonts w:hint="eastAsia" w:ascii="Times New Roman" w:hAnsi="Times New Roman"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少－多－少</w:t>
      </w:r>
      <w:r>
        <w:rPr>
          <w:rFonts w:hint="eastAsia" w:ascii="Times New Roman" w:hAnsi="Times New Roman"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的趋势。麻竹从6月初开始出笋，随着时间的变化，出笋数量呈缓慢增加趋势；7月出笋数量迅速增多，7月中下旬达到最大出笋量；8月出笋数量缓慢减少；9月出笋数量呈迅速下降趋势，直至完全停止。</w:t>
      </w:r>
    </w:p>
    <w:p w14:paraId="5831425B">
      <w:pPr>
        <w:keepNext w:val="0"/>
        <w:keepLines w:val="0"/>
        <w:pageBreakBefore w:val="0"/>
        <w:kinsoku/>
        <w:wordWrap/>
        <w:overflowPunct/>
        <w:topLinePunct w:val="0"/>
        <w:bidi w:val="0"/>
        <w:spacing w:line="300" w:lineRule="auto"/>
        <w:ind w:firstLine="640" w:firstLineChars="200"/>
        <w:jc w:val="center"/>
        <w:rPr>
          <w:rFonts w:hint="default" w:ascii="Times New Roman" w:hAnsi="Times New Roman" w:cs="Times New Roman"/>
          <w:b/>
          <w:bCs/>
          <w:sz w:val="18"/>
          <w:szCs w:val="18"/>
          <w:lang w:val="en-US" w:eastAsia="zh-CN"/>
        </w:rPr>
      </w:pPr>
      <w:r>
        <w:rPr>
          <w:rFonts w:hint="default" w:ascii="Times New Roman" w:hAnsi="Times New Roman" w:cs="Times New Roman"/>
        </w:rPr>
        <w:drawing>
          <wp:inline distT="0" distB="0" distL="114300" distR="114300">
            <wp:extent cx="4903470" cy="2012315"/>
            <wp:effectExtent l="0" t="0" r="11430" b="698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BAF6961">
      <w:pPr>
        <w:keepNext w:val="0"/>
        <w:keepLines w:val="0"/>
        <w:pageBreakBefore w:val="0"/>
        <w:kinsoku/>
        <w:wordWrap/>
        <w:overflowPunct/>
        <w:topLinePunct w:val="0"/>
        <w:bidi w:val="0"/>
        <w:spacing w:line="300" w:lineRule="auto"/>
        <w:ind w:firstLine="562" w:firstLineChars="200"/>
        <w:jc w:val="center"/>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图1 不同观测日期出笋数量（个）</w:t>
      </w:r>
    </w:p>
    <w:p w14:paraId="1029BE4D">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对麻竹出笋期的不同月份出笋数量以及出笋率进行统计分析，详情见表2。由表2可知，6月出笋数量最少，共计223个，仅占总出笋量的6</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%。7月出笋量达最大值，共计1</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578个，其次是8月出笋数量，共计1</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483个；7月、8月的出笋数量均明显多于6月、9月，共计出笋量高达3</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061个，占总出笋数量79</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%。9月总出笋量为557个，占总出笋量的15</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w:t>
      </w:r>
    </w:p>
    <w:p w14:paraId="37434485">
      <w:pPr>
        <w:keepNext w:val="0"/>
        <w:keepLines w:val="0"/>
        <w:pageBreakBefore w:val="0"/>
        <w:kinsoku/>
        <w:wordWrap/>
        <w:overflowPunct/>
        <w:topLinePunct w:val="0"/>
        <w:bidi w:val="0"/>
        <w:spacing w:line="300" w:lineRule="auto"/>
        <w:ind w:firstLine="562" w:firstLineChars="200"/>
        <w:jc w:val="center"/>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表2 各样地不同月份出笋数量（个）</w:t>
      </w:r>
    </w:p>
    <w:tbl>
      <w:tblPr>
        <w:tblStyle w:val="8"/>
        <w:tblW w:w="8423" w:type="dxa"/>
        <w:tblInd w:w="-61" w:type="dxa"/>
        <w:shd w:val="clear" w:color="auto" w:fill="auto"/>
        <w:tblLayout w:type="fixed"/>
        <w:tblCellMar>
          <w:top w:w="0" w:type="dxa"/>
          <w:left w:w="0" w:type="dxa"/>
          <w:bottom w:w="0" w:type="dxa"/>
          <w:right w:w="0" w:type="dxa"/>
        </w:tblCellMar>
      </w:tblPr>
      <w:tblGrid>
        <w:gridCol w:w="690"/>
        <w:gridCol w:w="883"/>
        <w:gridCol w:w="782"/>
        <w:gridCol w:w="782"/>
        <w:gridCol w:w="782"/>
        <w:gridCol w:w="782"/>
        <w:gridCol w:w="782"/>
        <w:gridCol w:w="782"/>
        <w:gridCol w:w="792"/>
        <w:gridCol w:w="730"/>
        <w:gridCol w:w="636"/>
      </w:tblGrid>
      <w:tr w14:paraId="185AE41A">
        <w:tblPrEx>
          <w:shd w:val="clear" w:color="auto" w:fill="auto"/>
          <w:tblCellMar>
            <w:top w:w="0" w:type="dxa"/>
            <w:left w:w="0" w:type="dxa"/>
            <w:bottom w:w="0" w:type="dxa"/>
            <w:right w:w="0" w:type="dxa"/>
          </w:tblCellMar>
        </w:tblPrEx>
        <w:trPr>
          <w:trHeight w:val="250" w:hRule="atLeast"/>
        </w:trPr>
        <w:tc>
          <w:tcPr>
            <w:tcW w:w="690" w:type="dxa"/>
            <w:vMerge w:val="restart"/>
            <w:tcBorders>
              <w:top w:val="single" w:color="000000" w:sz="4" w:space="0"/>
              <w:left w:val="nil"/>
              <w:bottom w:val="single" w:color="000000" w:sz="4" w:space="0"/>
              <w:right w:val="nil"/>
            </w:tcBorders>
            <w:shd w:val="clear" w:color="auto" w:fill="auto"/>
            <w:tcMar>
              <w:top w:w="12" w:type="dxa"/>
              <w:left w:w="12" w:type="dxa"/>
              <w:right w:w="12" w:type="dxa"/>
            </w:tcMar>
            <w:vAlign w:val="center"/>
          </w:tcPr>
          <w:p w14:paraId="6FAAC233">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月份</w:t>
            </w:r>
          </w:p>
        </w:tc>
        <w:tc>
          <w:tcPr>
            <w:tcW w:w="6367" w:type="dxa"/>
            <w:gridSpan w:val="8"/>
            <w:tcBorders>
              <w:top w:val="single" w:color="000000" w:sz="4" w:space="0"/>
              <w:left w:val="nil"/>
              <w:bottom w:val="nil"/>
              <w:right w:val="nil"/>
            </w:tcBorders>
            <w:shd w:val="clear" w:color="auto" w:fill="auto"/>
            <w:tcMar>
              <w:top w:w="12" w:type="dxa"/>
              <w:left w:w="12" w:type="dxa"/>
              <w:right w:w="12" w:type="dxa"/>
            </w:tcMar>
            <w:vAlign w:val="center"/>
          </w:tcPr>
          <w:p w14:paraId="744AA04F">
            <w:pPr>
              <w:keepNext w:val="0"/>
              <w:keepLines w:val="0"/>
              <w:pageBreakBefore w:val="0"/>
              <w:widowControl/>
              <w:suppressLineNumbers w:val="0"/>
              <w:kinsoku/>
              <w:wordWrap/>
              <w:overflowPunct/>
              <w:topLinePunct w:val="0"/>
              <w:autoSpaceDE/>
              <w:autoSpaceDN/>
              <w:bidi w:val="0"/>
              <w:adjustRightInd/>
              <w:snapToGrid/>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样地编号</w:t>
            </w:r>
          </w:p>
        </w:tc>
        <w:tc>
          <w:tcPr>
            <w:tcW w:w="730" w:type="dxa"/>
            <w:vMerge w:val="restart"/>
            <w:tcBorders>
              <w:top w:val="single" w:color="000000" w:sz="4" w:space="0"/>
              <w:left w:val="nil"/>
              <w:bottom w:val="single" w:color="000000" w:sz="4" w:space="0"/>
              <w:right w:val="nil"/>
            </w:tcBorders>
            <w:shd w:val="clear" w:color="auto" w:fill="auto"/>
            <w:noWrap/>
            <w:tcMar>
              <w:top w:w="12" w:type="dxa"/>
              <w:left w:w="12" w:type="dxa"/>
              <w:right w:w="12" w:type="dxa"/>
            </w:tcMar>
            <w:vAlign w:val="center"/>
          </w:tcPr>
          <w:p w14:paraId="19889EC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合计</w:t>
            </w:r>
          </w:p>
        </w:tc>
        <w:tc>
          <w:tcPr>
            <w:tcW w:w="636" w:type="dxa"/>
            <w:vMerge w:val="restart"/>
            <w:tcBorders>
              <w:top w:val="single" w:color="000000" w:sz="4" w:space="0"/>
              <w:left w:val="nil"/>
              <w:bottom w:val="single" w:color="000000" w:sz="4" w:space="0"/>
              <w:right w:val="nil"/>
            </w:tcBorders>
            <w:shd w:val="clear" w:color="auto" w:fill="auto"/>
            <w:noWrap/>
            <w:tcMar>
              <w:top w:w="12" w:type="dxa"/>
              <w:left w:w="12" w:type="dxa"/>
              <w:right w:w="12" w:type="dxa"/>
            </w:tcMar>
            <w:vAlign w:val="center"/>
          </w:tcPr>
          <w:p w14:paraId="4472389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kern w:val="0"/>
                <w:sz w:val="18"/>
                <w:szCs w:val="18"/>
                <w:u w:val="none"/>
                <w:lang w:val="en-US" w:eastAsia="zh-CN" w:bidi="ar"/>
              </w:rPr>
            </w:pPr>
            <w:r>
              <w:rPr>
                <w:rFonts w:hint="default" w:ascii="Times New Roman" w:hAnsi="Times New Roman" w:cs="Times New Roman"/>
                <w:i w:val="0"/>
                <w:color w:val="auto"/>
                <w:kern w:val="0"/>
                <w:sz w:val="18"/>
                <w:szCs w:val="18"/>
                <w:u w:val="none"/>
                <w:lang w:val="en-US" w:eastAsia="zh-CN" w:bidi="ar"/>
              </w:rPr>
              <w:t>出笋率</w:t>
            </w:r>
            <w:r>
              <w:rPr>
                <w:rFonts w:hint="default" w:ascii="Times New Roman" w:hAnsi="Times New Roman" w:eastAsia="宋体" w:cs="Times New Roman"/>
                <w:i w:val="0"/>
                <w:color w:val="auto"/>
                <w:kern w:val="0"/>
                <w:sz w:val="18"/>
                <w:szCs w:val="18"/>
                <w:u w:val="none"/>
                <w:lang w:val="en-US" w:eastAsia="zh-CN" w:bidi="ar"/>
              </w:rPr>
              <w:t>（%）</w:t>
            </w:r>
          </w:p>
        </w:tc>
      </w:tr>
      <w:tr w14:paraId="049F90D8">
        <w:tblPrEx>
          <w:shd w:val="clear" w:color="auto" w:fill="auto"/>
          <w:tblCellMar>
            <w:top w:w="0" w:type="dxa"/>
            <w:left w:w="0" w:type="dxa"/>
            <w:bottom w:w="0" w:type="dxa"/>
            <w:right w:w="0" w:type="dxa"/>
          </w:tblCellMar>
        </w:tblPrEx>
        <w:trPr>
          <w:trHeight w:val="204" w:hRule="atLeast"/>
        </w:trPr>
        <w:tc>
          <w:tcPr>
            <w:tcW w:w="690" w:type="dxa"/>
            <w:vMerge w:val="continue"/>
            <w:tcBorders>
              <w:top w:val="single" w:color="000000" w:sz="4" w:space="0"/>
              <w:left w:val="nil"/>
              <w:bottom w:val="single" w:color="000000" w:sz="4" w:space="0"/>
              <w:right w:val="nil"/>
            </w:tcBorders>
            <w:shd w:val="clear" w:color="auto" w:fill="auto"/>
            <w:tcMar>
              <w:top w:w="12" w:type="dxa"/>
              <w:left w:w="12" w:type="dxa"/>
              <w:right w:w="12" w:type="dxa"/>
            </w:tcMar>
            <w:vAlign w:val="center"/>
          </w:tcPr>
          <w:p w14:paraId="353680C6">
            <w:pPr>
              <w:keepNext w:val="0"/>
              <w:keepLines w:val="0"/>
              <w:pageBreakBefore w:val="0"/>
              <w:kinsoku/>
              <w:wordWrap/>
              <w:overflowPunct/>
              <w:topLinePunct w:val="0"/>
              <w:autoSpaceDE/>
              <w:autoSpaceDN/>
              <w:bidi w:val="0"/>
              <w:adjustRightInd/>
              <w:snapToGrid/>
              <w:spacing w:line="300" w:lineRule="auto"/>
              <w:jc w:val="center"/>
              <w:rPr>
                <w:rFonts w:hint="default" w:ascii="Times New Roman" w:hAnsi="Times New Roman" w:eastAsia="宋体" w:cs="Times New Roman"/>
                <w:i w:val="0"/>
                <w:color w:val="auto"/>
                <w:sz w:val="18"/>
                <w:szCs w:val="18"/>
                <w:u w:val="none"/>
              </w:rPr>
            </w:pPr>
          </w:p>
        </w:tc>
        <w:tc>
          <w:tcPr>
            <w:tcW w:w="883" w:type="dxa"/>
            <w:tcBorders>
              <w:top w:val="nil"/>
              <w:left w:val="nil"/>
              <w:bottom w:val="single" w:color="000000" w:sz="4" w:space="0"/>
              <w:right w:val="nil"/>
            </w:tcBorders>
            <w:shd w:val="clear" w:color="auto" w:fill="auto"/>
            <w:noWrap/>
            <w:tcMar>
              <w:top w:w="12" w:type="dxa"/>
              <w:left w:w="12" w:type="dxa"/>
              <w:right w:w="12" w:type="dxa"/>
            </w:tcMar>
            <w:vAlign w:val="center"/>
          </w:tcPr>
          <w:p w14:paraId="144043A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r>
              <w:rPr>
                <w:rStyle w:val="54"/>
                <w:rFonts w:hint="default" w:ascii="Times New Roman" w:hAnsi="Times New Roman" w:cs="Times New Roman"/>
                <w:color w:val="auto"/>
                <w:sz w:val="18"/>
                <w:szCs w:val="18"/>
                <w:lang w:val="en-US" w:eastAsia="zh-CN" w:bidi="ar"/>
              </w:rPr>
              <w:t>号</w:t>
            </w:r>
          </w:p>
        </w:tc>
        <w:tc>
          <w:tcPr>
            <w:tcW w:w="782" w:type="dxa"/>
            <w:tcBorders>
              <w:top w:val="nil"/>
              <w:left w:val="nil"/>
              <w:bottom w:val="single" w:color="000000" w:sz="4" w:space="0"/>
              <w:right w:val="nil"/>
            </w:tcBorders>
            <w:shd w:val="clear" w:color="auto" w:fill="auto"/>
            <w:noWrap/>
            <w:tcMar>
              <w:top w:w="12" w:type="dxa"/>
              <w:left w:w="12" w:type="dxa"/>
              <w:right w:w="12" w:type="dxa"/>
            </w:tcMar>
            <w:vAlign w:val="center"/>
          </w:tcPr>
          <w:p w14:paraId="0E6A7142">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2号</w:t>
            </w:r>
          </w:p>
        </w:tc>
        <w:tc>
          <w:tcPr>
            <w:tcW w:w="782" w:type="dxa"/>
            <w:tcBorders>
              <w:top w:val="nil"/>
              <w:left w:val="nil"/>
              <w:bottom w:val="single" w:color="000000" w:sz="4" w:space="0"/>
              <w:right w:val="nil"/>
            </w:tcBorders>
            <w:shd w:val="clear" w:color="auto" w:fill="auto"/>
            <w:noWrap/>
            <w:tcMar>
              <w:top w:w="12" w:type="dxa"/>
              <w:left w:w="12" w:type="dxa"/>
              <w:right w:w="12" w:type="dxa"/>
            </w:tcMar>
            <w:vAlign w:val="center"/>
          </w:tcPr>
          <w:p w14:paraId="2757CC6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w:t>
            </w:r>
            <w:r>
              <w:rPr>
                <w:rStyle w:val="54"/>
                <w:rFonts w:hint="default" w:ascii="Times New Roman" w:hAnsi="Times New Roman" w:cs="Times New Roman"/>
                <w:color w:val="auto"/>
                <w:sz w:val="18"/>
                <w:szCs w:val="18"/>
                <w:lang w:val="en-US" w:eastAsia="zh-CN" w:bidi="ar"/>
              </w:rPr>
              <w:t>号</w:t>
            </w:r>
          </w:p>
        </w:tc>
        <w:tc>
          <w:tcPr>
            <w:tcW w:w="782" w:type="dxa"/>
            <w:tcBorders>
              <w:top w:val="nil"/>
              <w:left w:val="nil"/>
              <w:bottom w:val="single" w:color="000000" w:sz="4" w:space="0"/>
              <w:right w:val="nil"/>
            </w:tcBorders>
            <w:shd w:val="clear" w:color="auto" w:fill="auto"/>
            <w:noWrap/>
            <w:tcMar>
              <w:top w:w="12" w:type="dxa"/>
              <w:left w:w="12" w:type="dxa"/>
              <w:right w:w="12" w:type="dxa"/>
            </w:tcMar>
            <w:vAlign w:val="center"/>
          </w:tcPr>
          <w:p w14:paraId="08F30F36">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w:t>
            </w:r>
            <w:r>
              <w:rPr>
                <w:rStyle w:val="54"/>
                <w:rFonts w:hint="default" w:ascii="Times New Roman" w:hAnsi="Times New Roman" w:cs="Times New Roman"/>
                <w:color w:val="auto"/>
                <w:sz w:val="18"/>
                <w:szCs w:val="18"/>
                <w:lang w:val="en-US" w:eastAsia="zh-CN" w:bidi="ar"/>
              </w:rPr>
              <w:t>号</w:t>
            </w:r>
          </w:p>
        </w:tc>
        <w:tc>
          <w:tcPr>
            <w:tcW w:w="782" w:type="dxa"/>
            <w:tcBorders>
              <w:top w:val="nil"/>
              <w:left w:val="nil"/>
              <w:bottom w:val="single" w:color="000000" w:sz="4" w:space="0"/>
              <w:right w:val="nil"/>
            </w:tcBorders>
            <w:shd w:val="clear" w:color="auto" w:fill="auto"/>
            <w:noWrap/>
            <w:tcMar>
              <w:top w:w="12" w:type="dxa"/>
              <w:left w:w="12" w:type="dxa"/>
              <w:right w:w="12" w:type="dxa"/>
            </w:tcMar>
            <w:vAlign w:val="center"/>
          </w:tcPr>
          <w:p w14:paraId="5F092E0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w:t>
            </w:r>
            <w:r>
              <w:rPr>
                <w:rStyle w:val="54"/>
                <w:rFonts w:hint="default" w:ascii="Times New Roman" w:hAnsi="Times New Roman" w:cs="Times New Roman"/>
                <w:color w:val="auto"/>
                <w:sz w:val="18"/>
                <w:szCs w:val="18"/>
                <w:lang w:val="en-US" w:eastAsia="zh-CN" w:bidi="ar"/>
              </w:rPr>
              <w:t>号</w:t>
            </w:r>
          </w:p>
        </w:tc>
        <w:tc>
          <w:tcPr>
            <w:tcW w:w="782" w:type="dxa"/>
            <w:tcBorders>
              <w:top w:val="nil"/>
              <w:left w:val="nil"/>
              <w:bottom w:val="single" w:color="000000" w:sz="4" w:space="0"/>
              <w:right w:val="nil"/>
            </w:tcBorders>
            <w:shd w:val="clear" w:color="auto" w:fill="auto"/>
            <w:noWrap/>
            <w:tcMar>
              <w:top w:w="12" w:type="dxa"/>
              <w:left w:w="12" w:type="dxa"/>
              <w:right w:w="12" w:type="dxa"/>
            </w:tcMar>
            <w:vAlign w:val="center"/>
          </w:tcPr>
          <w:p w14:paraId="20FA0A97">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w:t>
            </w:r>
            <w:r>
              <w:rPr>
                <w:rStyle w:val="54"/>
                <w:rFonts w:hint="default" w:ascii="Times New Roman" w:hAnsi="Times New Roman" w:cs="Times New Roman"/>
                <w:color w:val="auto"/>
                <w:sz w:val="18"/>
                <w:szCs w:val="18"/>
                <w:lang w:val="en-US" w:eastAsia="zh-CN" w:bidi="ar"/>
              </w:rPr>
              <w:t>号</w:t>
            </w:r>
          </w:p>
        </w:tc>
        <w:tc>
          <w:tcPr>
            <w:tcW w:w="782" w:type="dxa"/>
            <w:tcBorders>
              <w:top w:val="nil"/>
              <w:left w:val="nil"/>
              <w:bottom w:val="single" w:color="000000" w:sz="4" w:space="0"/>
              <w:right w:val="nil"/>
            </w:tcBorders>
            <w:shd w:val="clear" w:color="auto" w:fill="auto"/>
            <w:noWrap/>
            <w:tcMar>
              <w:top w:w="12" w:type="dxa"/>
              <w:left w:w="12" w:type="dxa"/>
              <w:right w:w="12" w:type="dxa"/>
            </w:tcMar>
            <w:vAlign w:val="center"/>
          </w:tcPr>
          <w:p w14:paraId="30D08243">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w:t>
            </w:r>
            <w:r>
              <w:rPr>
                <w:rStyle w:val="54"/>
                <w:rFonts w:hint="default" w:ascii="Times New Roman" w:hAnsi="Times New Roman" w:cs="Times New Roman"/>
                <w:color w:val="auto"/>
                <w:sz w:val="18"/>
                <w:szCs w:val="18"/>
                <w:lang w:val="en-US" w:eastAsia="zh-CN" w:bidi="ar"/>
              </w:rPr>
              <w:t>号</w:t>
            </w:r>
          </w:p>
        </w:tc>
        <w:tc>
          <w:tcPr>
            <w:tcW w:w="792" w:type="dxa"/>
            <w:tcBorders>
              <w:top w:val="nil"/>
              <w:left w:val="nil"/>
              <w:bottom w:val="single" w:color="000000" w:sz="4" w:space="0"/>
              <w:right w:val="nil"/>
            </w:tcBorders>
            <w:shd w:val="clear" w:color="auto" w:fill="auto"/>
            <w:noWrap/>
            <w:tcMar>
              <w:top w:w="12" w:type="dxa"/>
              <w:left w:w="12" w:type="dxa"/>
              <w:right w:w="12" w:type="dxa"/>
            </w:tcMar>
            <w:vAlign w:val="center"/>
          </w:tcPr>
          <w:p w14:paraId="3D1CD06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w:t>
            </w:r>
            <w:r>
              <w:rPr>
                <w:rStyle w:val="54"/>
                <w:rFonts w:hint="default" w:ascii="Times New Roman" w:hAnsi="Times New Roman" w:cs="Times New Roman"/>
                <w:color w:val="auto"/>
                <w:sz w:val="18"/>
                <w:szCs w:val="18"/>
                <w:lang w:val="en-US" w:eastAsia="zh-CN" w:bidi="ar"/>
              </w:rPr>
              <w:t>号</w:t>
            </w:r>
          </w:p>
        </w:tc>
        <w:tc>
          <w:tcPr>
            <w:tcW w:w="730" w:type="dxa"/>
            <w:vMerge w:val="continue"/>
            <w:tcBorders>
              <w:top w:val="single" w:color="000000" w:sz="4" w:space="0"/>
              <w:left w:val="nil"/>
              <w:bottom w:val="single" w:color="000000" w:sz="4" w:space="0"/>
              <w:right w:val="nil"/>
            </w:tcBorders>
            <w:shd w:val="clear" w:color="auto" w:fill="auto"/>
            <w:noWrap/>
            <w:tcMar>
              <w:top w:w="12" w:type="dxa"/>
              <w:left w:w="12" w:type="dxa"/>
              <w:right w:w="12" w:type="dxa"/>
            </w:tcMar>
            <w:vAlign w:val="center"/>
          </w:tcPr>
          <w:p w14:paraId="6400D04C">
            <w:pPr>
              <w:keepNext w:val="0"/>
              <w:keepLines w:val="0"/>
              <w:pageBreakBefore w:val="0"/>
              <w:kinsoku/>
              <w:wordWrap/>
              <w:overflowPunct/>
              <w:topLinePunct w:val="0"/>
              <w:autoSpaceDE/>
              <w:autoSpaceDN/>
              <w:bidi w:val="0"/>
              <w:adjustRightInd/>
              <w:snapToGrid/>
              <w:spacing w:line="300" w:lineRule="auto"/>
              <w:jc w:val="center"/>
              <w:rPr>
                <w:rFonts w:hint="default" w:ascii="Times New Roman" w:hAnsi="Times New Roman" w:eastAsia="宋体" w:cs="Times New Roman"/>
                <w:i w:val="0"/>
                <w:color w:val="auto"/>
                <w:sz w:val="18"/>
                <w:szCs w:val="18"/>
                <w:u w:val="none"/>
              </w:rPr>
            </w:pPr>
          </w:p>
        </w:tc>
        <w:tc>
          <w:tcPr>
            <w:tcW w:w="636" w:type="dxa"/>
            <w:vMerge w:val="continue"/>
            <w:tcBorders>
              <w:top w:val="single" w:color="000000" w:sz="4" w:space="0"/>
              <w:left w:val="nil"/>
              <w:bottom w:val="single" w:color="000000" w:sz="4" w:space="0"/>
              <w:right w:val="nil"/>
            </w:tcBorders>
            <w:shd w:val="clear" w:color="auto" w:fill="auto"/>
            <w:noWrap/>
            <w:tcMar>
              <w:top w:w="12" w:type="dxa"/>
              <w:left w:w="12" w:type="dxa"/>
              <w:right w:w="12" w:type="dxa"/>
            </w:tcMar>
            <w:vAlign w:val="center"/>
          </w:tcPr>
          <w:p w14:paraId="1F043408">
            <w:pPr>
              <w:keepNext w:val="0"/>
              <w:keepLines w:val="0"/>
              <w:pageBreakBefore w:val="0"/>
              <w:kinsoku/>
              <w:wordWrap/>
              <w:overflowPunct/>
              <w:topLinePunct w:val="0"/>
              <w:autoSpaceDE/>
              <w:autoSpaceDN/>
              <w:bidi w:val="0"/>
              <w:adjustRightInd/>
              <w:snapToGrid/>
              <w:spacing w:line="300" w:lineRule="auto"/>
              <w:jc w:val="center"/>
              <w:rPr>
                <w:rFonts w:hint="default" w:ascii="Times New Roman" w:hAnsi="Times New Roman" w:eastAsia="宋体" w:cs="Times New Roman"/>
                <w:i w:val="0"/>
                <w:color w:val="auto"/>
                <w:sz w:val="18"/>
                <w:szCs w:val="18"/>
                <w:u w:val="none"/>
              </w:rPr>
            </w:pPr>
          </w:p>
        </w:tc>
      </w:tr>
      <w:tr w14:paraId="2830B103">
        <w:tblPrEx>
          <w:shd w:val="clear" w:color="auto" w:fill="auto"/>
          <w:tblCellMar>
            <w:top w:w="0" w:type="dxa"/>
            <w:left w:w="0" w:type="dxa"/>
            <w:bottom w:w="0" w:type="dxa"/>
            <w:right w:w="0" w:type="dxa"/>
          </w:tblCellMar>
        </w:tblPrEx>
        <w:trPr>
          <w:trHeight w:val="341" w:hRule="atLeast"/>
        </w:trPr>
        <w:tc>
          <w:tcPr>
            <w:tcW w:w="690" w:type="dxa"/>
            <w:tcBorders>
              <w:top w:val="nil"/>
              <w:left w:val="nil"/>
              <w:bottom w:val="nil"/>
              <w:right w:val="nil"/>
            </w:tcBorders>
            <w:shd w:val="clear" w:color="auto" w:fill="auto"/>
            <w:tcMar>
              <w:top w:w="12" w:type="dxa"/>
              <w:left w:w="12" w:type="dxa"/>
              <w:right w:w="12" w:type="dxa"/>
            </w:tcMar>
            <w:vAlign w:val="top"/>
          </w:tcPr>
          <w:p w14:paraId="658B4655">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w:t>
            </w:r>
            <w:r>
              <w:rPr>
                <w:rStyle w:val="54"/>
                <w:rFonts w:hint="default" w:ascii="Times New Roman" w:hAnsi="Times New Roman" w:cs="Times New Roman"/>
                <w:color w:val="auto"/>
                <w:sz w:val="18"/>
                <w:szCs w:val="18"/>
                <w:lang w:val="en-US" w:eastAsia="zh-CN" w:bidi="ar"/>
              </w:rPr>
              <w:t>月</w:t>
            </w:r>
          </w:p>
        </w:tc>
        <w:tc>
          <w:tcPr>
            <w:tcW w:w="883" w:type="dxa"/>
            <w:tcBorders>
              <w:top w:val="nil"/>
              <w:left w:val="nil"/>
              <w:bottom w:val="nil"/>
              <w:right w:val="nil"/>
            </w:tcBorders>
            <w:shd w:val="clear" w:color="auto" w:fill="auto"/>
            <w:tcMar>
              <w:top w:w="12" w:type="dxa"/>
              <w:left w:w="12" w:type="dxa"/>
              <w:right w:w="12" w:type="dxa"/>
            </w:tcMar>
            <w:vAlign w:val="top"/>
          </w:tcPr>
          <w:p w14:paraId="443295DF">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67</w:t>
            </w:r>
          </w:p>
        </w:tc>
        <w:tc>
          <w:tcPr>
            <w:tcW w:w="782" w:type="dxa"/>
            <w:tcBorders>
              <w:top w:val="nil"/>
              <w:left w:val="nil"/>
              <w:bottom w:val="nil"/>
              <w:right w:val="nil"/>
            </w:tcBorders>
            <w:shd w:val="clear" w:color="auto" w:fill="auto"/>
            <w:tcMar>
              <w:top w:w="12" w:type="dxa"/>
              <w:left w:w="12" w:type="dxa"/>
              <w:right w:w="12" w:type="dxa"/>
            </w:tcMar>
            <w:vAlign w:val="top"/>
          </w:tcPr>
          <w:p w14:paraId="33E4D44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38</w:t>
            </w:r>
          </w:p>
        </w:tc>
        <w:tc>
          <w:tcPr>
            <w:tcW w:w="782" w:type="dxa"/>
            <w:tcBorders>
              <w:top w:val="nil"/>
              <w:left w:val="nil"/>
              <w:bottom w:val="nil"/>
              <w:right w:val="nil"/>
            </w:tcBorders>
            <w:shd w:val="clear" w:color="auto" w:fill="auto"/>
            <w:tcMar>
              <w:top w:w="12" w:type="dxa"/>
              <w:left w:w="12" w:type="dxa"/>
              <w:right w:w="12" w:type="dxa"/>
            </w:tcMar>
            <w:vAlign w:val="top"/>
          </w:tcPr>
          <w:p w14:paraId="4BBD3B5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30</w:t>
            </w:r>
          </w:p>
        </w:tc>
        <w:tc>
          <w:tcPr>
            <w:tcW w:w="782" w:type="dxa"/>
            <w:tcBorders>
              <w:top w:val="nil"/>
              <w:left w:val="nil"/>
              <w:bottom w:val="nil"/>
              <w:right w:val="nil"/>
            </w:tcBorders>
            <w:shd w:val="clear" w:color="auto" w:fill="auto"/>
            <w:tcMar>
              <w:top w:w="12" w:type="dxa"/>
              <w:left w:w="12" w:type="dxa"/>
              <w:right w:w="12" w:type="dxa"/>
            </w:tcMar>
            <w:vAlign w:val="top"/>
          </w:tcPr>
          <w:p w14:paraId="07BC9BB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w:t>
            </w:r>
          </w:p>
        </w:tc>
        <w:tc>
          <w:tcPr>
            <w:tcW w:w="782" w:type="dxa"/>
            <w:tcBorders>
              <w:top w:val="nil"/>
              <w:left w:val="nil"/>
              <w:bottom w:val="nil"/>
              <w:right w:val="nil"/>
            </w:tcBorders>
            <w:shd w:val="clear" w:color="auto" w:fill="auto"/>
            <w:tcMar>
              <w:top w:w="12" w:type="dxa"/>
              <w:left w:w="12" w:type="dxa"/>
              <w:right w:w="12" w:type="dxa"/>
            </w:tcMar>
            <w:vAlign w:val="top"/>
          </w:tcPr>
          <w:p w14:paraId="26B0C07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w:t>
            </w:r>
          </w:p>
        </w:tc>
        <w:tc>
          <w:tcPr>
            <w:tcW w:w="782" w:type="dxa"/>
            <w:tcBorders>
              <w:top w:val="nil"/>
              <w:left w:val="nil"/>
              <w:bottom w:val="nil"/>
              <w:right w:val="nil"/>
            </w:tcBorders>
            <w:shd w:val="clear" w:color="auto" w:fill="auto"/>
            <w:tcMar>
              <w:top w:w="12" w:type="dxa"/>
              <w:left w:w="12" w:type="dxa"/>
              <w:right w:w="12" w:type="dxa"/>
            </w:tcMar>
            <w:vAlign w:val="top"/>
          </w:tcPr>
          <w:p w14:paraId="4F3CB12C">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w:t>
            </w:r>
          </w:p>
        </w:tc>
        <w:tc>
          <w:tcPr>
            <w:tcW w:w="782" w:type="dxa"/>
            <w:tcBorders>
              <w:top w:val="nil"/>
              <w:left w:val="nil"/>
              <w:bottom w:val="nil"/>
              <w:right w:val="nil"/>
            </w:tcBorders>
            <w:shd w:val="clear" w:color="auto" w:fill="auto"/>
            <w:tcMar>
              <w:top w:w="12" w:type="dxa"/>
              <w:left w:w="12" w:type="dxa"/>
              <w:right w:w="12" w:type="dxa"/>
            </w:tcMar>
            <w:vAlign w:val="top"/>
          </w:tcPr>
          <w:p w14:paraId="04AE8FC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32</w:t>
            </w:r>
          </w:p>
        </w:tc>
        <w:tc>
          <w:tcPr>
            <w:tcW w:w="792" w:type="dxa"/>
            <w:tcBorders>
              <w:top w:val="nil"/>
              <w:left w:val="nil"/>
              <w:bottom w:val="nil"/>
              <w:right w:val="nil"/>
            </w:tcBorders>
            <w:shd w:val="clear" w:color="auto" w:fill="auto"/>
            <w:tcMar>
              <w:top w:w="12" w:type="dxa"/>
              <w:left w:w="12" w:type="dxa"/>
              <w:right w:w="12" w:type="dxa"/>
            </w:tcMar>
            <w:vAlign w:val="top"/>
          </w:tcPr>
          <w:p w14:paraId="737C087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24</w:t>
            </w:r>
          </w:p>
        </w:tc>
        <w:tc>
          <w:tcPr>
            <w:tcW w:w="730" w:type="dxa"/>
            <w:tcBorders>
              <w:top w:val="nil"/>
              <w:left w:val="nil"/>
              <w:bottom w:val="nil"/>
              <w:right w:val="nil"/>
            </w:tcBorders>
            <w:shd w:val="clear" w:color="auto" w:fill="auto"/>
            <w:tcMar>
              <w:top w:w="12" w:type="dxa"/>
              <w:left w:w="12" w:type="dxa"/>
              <w:right w:w="12" w:type="dxa"/>
            </w:tcMar>
            <w:vAlign w:val="top"/>
          </w:tcPr>
          <w:p w14:paraId="18FBB6F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219</w:t>
            </w:r>
          </w:p>
        </w:tc>
        <w:tc>
          <w:tcPr>
            <w:tcW w:w="636" w:type="dxa"/>
            <w:tcBorders>
              <w:top w:val="nil"/>
              <w:left w:val="nil"/>
              <w:bottom w:val="nil"/>
              <w:right w:val="nil"/>
            </w:tcBorders>
            <w:shd w:val="clear" w:color="auto" w:fill="auto"/>
            <w:tcMar>
              <w:top w:w="12" w:type="dxa"/>
              <w:left w:w="12" w:type="dxa"/>
              <w:right w:w="12" w:type="dxa"/>
            </w:tcMar>
            <w:vAlign w:val="top"/>
          </w:tcPr>
          <w:p w14:paraId="60FF54BC">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w:t>
            </w:r>
          </w:p>
        </w:tc>
      </w:tr>
      <w:tr w14:paraId="25BA1748">
        <w:tblPrEx>
          <w:shd w:val="clear" w:color="auto" w:fill="auto"/>
          <w:tblCellMar>
            <w:top w:w="0" w:type="dxa"/>
            <w:left w:w="0" w:type="dxa"/>
            <w:bottom w:w="0" w:type="dxa"/>
            <w:right w:w="0" w:type="dxa"/>
          </w:tblCellMar>
        </w:tblPrEx>
        <w:trPr>
          <w:trHeight w:val="341" w:hRule="atLeast"/>
        </w:trPr>
        <w:tc>
          <w:tcPr>
            <w:tcW w:w="690" w:type="dxa"/>
            <w:tcBorders>
              <w:top w:val="nil"/>
              <w:left w:val="nil"/>
              <w:bottom w:val="nil"/>
              <w:right w:val="nil"/>
            </w:tcBorders>
            <w:shd w:val="clear" w:color="auto" w:fill="auto"/>
            <w:tcMar>
              <w:top w:w="12" w:type="dxa"/>
              <w:left w:w="12" w:type="dxa"/>
              <w:right w:w="12" w:type="dxa"/>
            </w:tcMar>
            <w:vAlign w:val="top"/>
          </w:tcPr>
          <w:p w14:paraId="43485E1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w:t>
            </w:r>
            <w:r>
              <w:rPr>
                <w:rStyle w:val="54"/>
                <w:rFonts w:hint="default" w:ascii="Times New Roman" w:hAnsi="Times New Roman" w:cs="Times New Roman"/>
                <w:color w:val="auto"/>
                <w:sz w:val="18"/>
                <w:szCs w:val="18"/>
                <w:lang w:val="en-US" w:eastAsia="zh-CN" w:bidi="ar"/>
              </w:rPr>
              <w:t>月</w:t>
            </w:r>
          </w:p>
        </w:tc>
        <w:tc>
          <w:tcPr>
            <w:tcW w:w="883" w:type="dxa"/>
            <w:tcBorders>
              <w:top w:val="nil"/>
              <w:left w:val="nil"/>
              <w:bottom w:val="nil"/>
              <w:right w:val="nil"/>
            </w:tcBorders>
            <w:shd w:val="clear" w:color="auto" w:fill="auto"/>
            <w:tcMar>
              <w:top w:w="12" w:type="dxa"/>
              <w:left w:w="12" w:type="dxa"/>
              <w:right w:w="12" w:type="dxa"/>
            </w:tcMar>
            <w:vAlign w:val="top"/>
          </w:tcPr>
          <w:p w14:paraId="2C2E854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226</w:t>
            </w:r>
          </w:p>
        </w:tc>
        <w:tc>
          <w:tcPr>
            <w:tcW w:w="782" w:type="dxa"/>
            <w:tcBorders>
              <w:top w:val="nil"/>
              <w:left w:val="nil"/>
              <w:bottom w:val="nil"/>
              <w:right w:val="nil"/>
            </w:tcBorders>
            <w:shd w:val="clear" w:color="auto" w:fill="auto"/>
            <w:tcMar>
              <w:top w:w="12" w:type="dxa"/>
              <w:left w:w="12" w:type="dxa"/>
              <w:right w:w="12" w:type="dxa"/>
            </w:tcMar>
            <w:vAlign w:val="top"/>
          </w:tcPr>
          <w:p w14:paraId="38346680">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153</w:t>
            </w:r>
          </w:p>
        </w:tc>
        <w:tc>
          <w:tcPr>
            <w:tcW w:w="782" w:type="dxa"/>
            <w:tcBorders>
              <w:top w:val="nil"/>
              <w:left w:val="nil"/>
              <w:bottom w:val="nil"/>
              <w:right w:val="nil"/>
            </w:tcBorders>
            <w:shd w:val="clear" w:color="auto" w:fill="auto"/>
            <w:tcMar>
              <w:top w:w="12" w:type="dxa"/>
              <w:left w:w="12" w:type="dxa"/>
              <w:right w:w="12" w:type="dxa"/>
            </w:tcMar>
            <w:vAlign w:val="top"/>
          </w:tcPr>
          <w:p w14:paraId="6899D897">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161</w:t>
            </w:r>
          </w:p>
        </w:tc>
        <w:tc>
          <w:tcPr>
            <w:tcW w:w="782" w:type="dxa"/>
            <w:tcBorders>
              <w:top w:val="nil"/>
              <w:left w:val="nil"/>
              <w:bottom w:val="nil"/>
              <w:right w:val="nil"/>
            </w:tcBorders>
            <w:shd w:val="clear" w:color="auto" w:fill="auto"/>
            <w:tcMar>
              <w:top w:w="12" w:type="dxa"/>
              <w:left w:w="12" w:type="dxa"/>
              <w:right w:w="12" w:type="dxa"/>
            </w:tcMar>
            <w:vAlign w:val="top"/>
          </w:tcPr>
          <w:p w14:paraId="45F9D21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151</w:t>
            </w:r>
          </w:p>
        </w:tc>
        <w:tc>
          <w:tcPr>
            <w:tcW w:w="782" w:type="dxa"/>
            <w:tcBorders>
              <w:top w:val="nil"/>
              <w:left w:val="nil"/>
              <w:bottom w:val="nil"/>
              <w:right w:val="nil"/>
            </w:tcBorders>
            <w:shd w:val="clear" w:color="auto" w:fill="auto"/>
            <w:tcMar>
              <w:top w:w="12" w:type="dxa"/>
              <w:left w:w="12" w:type="dxa"/>
              <w:right w:w="12" w:type="dxa"/>
            </w:tcMar>
            <w:vAlign w:val="top"/>
          </w:tcPr>
          <w:p w14:paraId="0E4170E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177</w:t>
            </w:r>
          </w:p>
        </w:tc>
        <w:tc>
          <w:tcPr>
            <w:tcW w:w="782" w:type="dxa"/>
            <w:tcBorders>
              <w:top w:val="nil"/>
              <w:left w:val="nil"/>
              <w:bottom w:val="nil"/>
              <w:right w:val="nil"/>
            </w:tcBorders>
            <w:shd w:val="clear" w:color="auto" w:fill="auto"/>
            <w:tcMar>
              <w:top w:w="12" w:type="dxa"/>
              <w:left w:w="12" w:type="dxa"/>
              <w:right w:w="12" w:type="dxa"/>
            </w:tcMar>
            <w:vAlign w:val="top"/>
          </w:tcPr>
          <w:p w14:paraId="0A9FA5C7">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166</w:t>
            </w:r>
          </w:p>
        </w:tc>
        <w:tc>
          <w:tcPr>
            <w:tcW w:w="782" w:type="dxa"/>
            <w:tcBorders>
              <w:top w:val="nil"/>
              <w:left w:val="nil"/>
              <w:bottom w:val="nil"/>
              <w:right w:val="nil"/>
            </w:tcBorders>
            <w:shd w:val="clear" w:color="auto" w:fill="auto"/>
            <w:tcMar>
              <w:top w:w="12" w:type="dxa"/>
              <w:left w:w="12" w:type="dxa"/>
              <w:right w:w="12" w:type="dxa"/>
            </w:tcMar>
            <w:vAlign w:val="top"/>
          </w:tcPr>
          <w:p w14:paraId="1F495EF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269</w:t>
            </w:r>
          </w:p>
        </w:tc>
        <w:tc>
          <w:tcPr>
            <w:tcW w:w="792" w:type="dxa"/>
            <w:tcBorders>
              <w:top w:val="nil"/>
              <w:left w:val="nil"/>
              <w:bottom w:val="nil"/>
              <w:right w:val="nil"/>
            </w:tcBorders>
            <w:shd w:val="clear" w:color="auto" w:fill="auto"/>
            <w:tcMar>
              <w:top w:w="12" w:type="dxa"/>
              <w:left w:w="12" w:type="dxa"/>
              <w:right w:w="12" w:type="dxa"/>
            </w:tcMar>
            <w:vAlign w:val="top"/>
          </w:tcPr>
          <w:p w14:paraId="0FD95302">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275</w:t>
            </w:r>
          </w:p>
        </w:tc>
        <w:tc>
          <w:tcPr>
            <w:tcW w:w="730" w:type="dxa"/>
            <w:tcBorders>
              <w:top w:val="nil"/>
              <w:left w:val="nil"/>
              <w:bottom w:val="nil"/>
              <w:right w:val="nil"/>
            </w:tcBorders>
            <w:shd w:val="clear" w:color="auto" w:fill="auto"/>
            <w:tcMar>
              <w:top w:w="12" w:type="dxa"/>
              <w:left w:w="12" w:type="dxa"/>
              <w:right w:w="12" w:type="dxa"/>
            </w:tcMar>
            <w:vAlign w:val="top"/>
          </w:tcPr>
          <w:p w14:paraId="2292BC2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1578</w:t>
            </w:r>
          </w:p>
        </w:tc>
        <w:tc>
          <w:tcPr>
            <w:tcW w:w="636" w:type="dxa"/>
            <w:tcBorders>
              <w:top w:val="nil"/>
              <w:left w:val="nil"/>
              <w:bottom w:val="nil"/>
              <w:right w:val="nil"/>
            </w:tcBorders>
            <w:shd w:val="clear" w:color="auto" w:fill="auto"/>
            <w:tcMar>
              <w:top w:w="12" w:type="dxa"/>
              <w:left w:w="12" w:type="dxa"/>
              <w:right w:w="12" w:type="dxa"/>
            </w:tcMar>
            <w:vAlign w:val="top"/>
          </w:tcPr>
          <w:p w14:paraId="056B3D1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41</w:t>
            </w:r>
          </w:p>
        </w:tc>
      </w:tr>
      <w:tr w14:paraId="2F28BD07">
        <w:tblPrEx>
          <w:shd w:val="clear" w:color="auto" w:fill="auto"/>
          <w:tblCellMar>
            <w:top w:w="0" w:type="dxa"/>
            <w:left w:w="0" w:type="dxa"/>
            <w:bottom w:w="0" w:type="dxa"/>
            <w:right w:w="0" w:type="dxa"/>
          </w:tblCellMar>
        </w:tblPrEx>
        <w:trPr>
          <w:trHeight w:val="429" w:hRule="atLeast"/>
        </w:trPr>
        <w:tc>
          <w:tcPr>
            <w:tcW w:w="690" w:type="dxa"/>
            <w:tcBorders>
              <w:top w:val="nil"/>
              <w:left w:val="nil"/>
              <w:bottom w:val="nil"/>
              <w:right w:val="nil"/>
            </w:tcBorders>
            <w:shd w:val="clear" w:color="auto" w:fill="auto"/>
            <w:tcMar>
              <w:top w:w="12" w:type="dxa"/>
              <w:left w:w="12" w:type="dxa"/>
              <w:right w:w="12" w:type="dxa"/>
            </w:tcMar>
            <w:vAlign w:val="top"/>
          </w:tcPr>
          <w:p w14:paraId="021A45E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w:t>
            </w:r>
            <w:r>
              <w:rPr>
                <w:rStyle w:val="54"/>
                <w:rFonts w:hint="default" w:ascii="Times New Roman" w:hAnsi="Times New Roman" w:cs="Times New Roman"/>
                <w:color w:val="auto"/>
                <w:sz w:val="18"/>
                <w:szCs w:val="18"/>
                <w:lang w:val="en-US" w:eastAsia="zh-CN" w:bidi="ar"/>
              </w:rPr>
              <w:t>月</w:t>
            </w:r>
          </w:p>
        </w:tc>
        <w:tc>
          <w:tcPr>
            <w:tcW w:w="883" w:type="dxa"/>
            <w:tcBorders>
              <w:top w:val="nil"/>
              <w:left w:val="nil"/>
              <w:bottom w:val="nil"/>
              <w:right w:val="nil"/>
            </w:tcBorders>
            <w:shd w:val="clear" w:color="auto" w:fill="auto"/>
            <w:tcMar>
              <w:top w:w="12" w:type="dxa"/>
              <w:left w:w="12" w:type="dxa"/>
              <w:right w:w="12" w:type="dxa"/>
            </w:tcMar>
            <w:vAlign w:val="top"/>
          </w:tcPr>
          <w:p w14:paraId="7F3490B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189</w:t>
            </w:r>
          </w:p>
        </w:tc>
        <w:tc>
          <w:tcPr>
            <w:tcW w:w="782" w:type="dxa"/>
            <w:tcBorders>
              <w:top w:val="nil"/>
              <w:left w:val="nil"/>
              <w:bottom w:val="nil"/>
              <w:right w:val="nil"/>
            </w:tcBorders>
            <w:shd w:val="clear" w:color="auto" w:fill="auto"/>
            <w:tcMar>
              <w:top w:w="12" w:type="dxa"/>
              <w:left w:w="12" w:type="dxa"/>
              <w:right w:w="12" w:type="dxa"/>
            </w:tcMar>
            <w:vAlign w:val="top"/>
          </w:tcPr>
          <w:p w14:paraId="4F99597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152</w:t>
            </w:r>
          </w:p>
        </w:tc>
        <w:tc>
          <w:tcPr>
            <w:tcW w:w="782" w:type="dxa"/>
            <w:tcBorders>
              <w:top w:val="nil"/>
              <w:left w:val="nil"/>
              <w:bottom w:val="nil"/>
              <w:right w:val="nil"/>
            </w:tcBorders>
            <w:shd w:val="clear" w:color="auto" w:fill="auto"/>
            <w:tcMar>
              <w:top w:w="12" w:type="dxa"/>
              <w:left w:w="12" w:type="dxa"/>
              <w:right w:w="12" w:type="dxa"/>
            </w:tcMar>
            <w:vAlign w:val="top"/>
          </w:tcPr>
          <w:p w14:paraId="32B941E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134</w:t>
            </w:r>
          </w:p>
        </w:tc>
        <w:tc>
          <w:tcPr>
            <w:tcW w:w="782" w:type="dxa"/>
            <w:tcBorders>
              <w:top w:val="nil"/>
              <w:left w:val="nil"/>
              <w:bottom w:val="nil"/>
              <w:right w:val="nil"/>
            </w:tcBorders>
            <w:shd w:val="clear" w:color="auto" w:fill="auto"/>
            <w:tcMar>
              <w:top w:w="12" w:type="dxa"/>
              <w:left w:w="12" w:type="dxa"/>
              <w:right w:w="12" w:type="dxa"/>
            </w:tcMar>
            <w:vAlign w:val="top"/>
          </w:tcPr>
          <w:p w14:paraId="4B9168D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183</w:t>
            </w:r>
          </w:p>
        </w:tc>
        <w:tc>
          <w:tcPr>
            <w:tcW w:w="782" w:type="dxa"/>
            <w:tcBorders>
              <w:top w:val="nil"/>
              <w:left w:val="nil"/>
              <w:bottom w:val="nil"/>
              <w:right w:val="nil"/>
            </w:tcBorders>
            <w:shd w:val="clear" w:color="auto" w:fill="auto"/>
            <w:tcMar>
              <w:top w:w="12" w:type="dxa"/>
              <w:left w:w="12" w:type="dxa"/>
              <w:right w:w="12" w:type="dxa"/>
            </w:tcMar>
            <w:vAlign w:val="top"/>
          </w:tcPr>
          <w:p w14:paraId="634DAE7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229</w:t>
            </w:r>
          </w:p>
        </w:tc>
        <w:tc>
          <w:tcPr>
            <w:tcW w:w="782" w:type="dxa"/>
            <w:tcBorders>
              <w:top w:val="nil"/>
              <w:left w:val="nil"/>
              <w:bottom w:val="nil"/>
              <w:right w:val="nil"/>
            </w:tcBorders>
            <w:shd w:val="clear" w:color="auto" w:fill="auto"/>
            <w:noWrap/>
            <w:tcMar>
              <w:top w:w="12" w:type="dxa"/>
              <w:left w:w="12" w:type="dxa"/>
              <w:right w:w="12" w:type="dxa"/>
            </w:tcMar>
            <w:vAlign w:val="top"/>
          </w:tcPr>
          <w:p w14:paraId="3F07B7A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182</w:t>
            </w:r>
          </w:p>
        </w:tc>
        <w:tc>
          <w:tcPr>
            <w:tcW w:w="782" w:type="dxa"/>
            <w:tcBorders>
              <w:top w:val="nil"/>
              <w:left w:val="nil"/>
              <w:bottom w:val="nil"/>
              <w:right w:val="nil"/>
            </w:tcBorders>
            <w:shd w:val="clear" w:color="auto" w:fill="auto"/>
            <w:tcMar>
              <w:top w:w="12" w:type="dxa"/>
              <w:left w:w="12" w:type="dxa"/>
              <w:right w:w="12" w:type="dxa"/>
            </w:tcMar>
            <w:vAlign w:val="top"/>
          </w:tcPr>
          <w:p w14:paraId="6590DAB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202</w:t>
            </w:r>
          </w:p>
        </w:tc>
        <w:tc>
          <w:tcPr>
            <w:tcW w:w="792" w:type="dxa"/>
            <w:tcBorders>
              <w:top w:val="nil"/>
              <w:left w:val="nil"/>
              <w:bottom w:val="nil"/>
              <w:right w:val="nil"/>
            </w:tcBorders>
            <w:shd w:val="clear" w:color="auto" w:fill="auto"/>
            <w:tcMar>
              <w:top w:w="12" w:type="dxa"/>
              <w:left w:w="12" w:type="dxa"/>
              <w:right w:w="12" w:type="dxa"/>
            </w:tcMar>
            <w:vAlign w:val="top"/>
          </w:tcPr>
          <w:p w14:paraId="358F565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212</w:t>
            </w:r>
          </w:p>
        </w:tc>
        <w:tc>
          <w:tcPr>
            <w:tcW w:w="730" w:type="dxa"/>
            <w:tcBorders>
              <w:top w:val="nil"/>
              <w:left w:val="nil"/>
              <w:bottom w:val="nil"/>
              <w:right w:val="nil"/>
            </w:tcBorders>
            <w:shd w:val="clear" w:color="auto" w:fill="auto"/>
            <w:tcMar>
              <w:top w:w="12" w:type="dxa"/>
              <w:left w:w="12" w:type="dxa"/>
              <w:right w:w="12" w:type="dxa"/>
            </w:tcMar>
            <w:vAlign w:val="top"/>
          </w:tcPr>
          <w:p w14:paraId="0CAA7085">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1483</w:t>
            </w:r>
          </w:p>
        </w:tc>
        <w:tc>
          <w:tcPr>
            <w:tcW w:w="636" w:type="dxa"/>
            <w:tcBorders>
              <w:top w:val="nil"/>
              <w:left w:val="nil"/>
              <w:bottom w:val="nil"/>
              <w:right w:val="nil"/>
            </w:tcBorders>
            <w:shd w:val="clear" w:color="auto" w:fill="auto"/>
            <w:tcMar>
              <w:top w:w="12" w:type="dxa"/>
              <w:left w:w="12" w:type="dxa"/>
              <w:right w:w="12" w:type="dxa"/>
            </w:tcMar>
            <w:vAlign w:val="top"/>
          </w:tcPr>
          <w:p w14:paraId="67CA55F2">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38</w:t>
            </w:r>
          </w:p>
        </w:tc>
      </w:tr>
      <w:tr w14:paraId="30775926">
        <w:tblPrEx>
          <w:shd w:val="clear" w:color="auto" w:fill="auto"/>
          <w:tblCellMar>
            <w:top w:w="0" w:type="dxa"/>
            <w:left w:w="0" w:type="dxa"/>
            <w:bottom w:w="0" w:type="dxa"/>
            <w:right w:w="0" w:type="dxa"/>
          </w:tblCellMar>
        </w:tblPrEx>
        <w:trPr>
          <w:trHeight w:val="233" w:hRule="atLeast"/>
        </w:trPr>
        <w:tc>
          <w:tcPr>
            <w:tcW w:w="690" w:type="dxa"/>
            <w:tcBorders>
              <w:top w:val="nil"/>
              <w:left w:val="nil"/>
              <w:bottom w:val="nil"/>
              <w:right w:val="nil"/>
            </w:tcBorders>
            <w:shd w:val="clear" w:color="auto" w:fill="auto"/>
            <w:tcMar>
              <w:top w:w="12" w:type="dxa"/>
              <w:left w:w="12" w:type="dxa"/>
              <w:right w:w="12" w:type="dxa"/>
            </w:tcMar>
            <w:vAlign w:val="top"/>
          </w:tcPr>
          <w:p w14:paraId="65E0092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w:t>
            </w:r>
            <w:r>
              <w:rPr>
                <w:rStyle w:val="54"/>
                <w:rFonts w:hint="default" w:ascii="Times New Roman" w:hAnsi="Times New Roman" w:cs="Times New Roman"/>
                <w:color w:val="auto"/>
                <w:sz w:val="18"/>
                <w:szCs w:val="18"/>
                <w:lang w:val="en-US" w:eastAsia="zh-CN" w:bidi="ar"/>
              </w:rPr>
              <w:t>月</w:t>
            </w:r>
          </w:p>
        </w:tc>
        <w:tc>
          <w:tcPr>
            <w:tcW w:w="883" w:type="dxa"/>
            <w:tcBorders>
              <w:top w:val="nil"/>
              <w:left w:val="nil"/>
              <w:bottom w:val="nil"/>
              <w:right w:val="nil"/>
            </w:tcBorders>
            <w:shd w:val="clear" w:color="auto" w:fill="auto"/>
            <w:tcMar>
              <w:top w:w="12" w:type="dxa"/>
              <w:left w:w="12" w:type="dxa"/>
              <w:right w:w="12" w:type="dxa"/>
            </w:tcMar>
            <w:vAlign w:val="top"/>
          </w:tcPr>
          <w:p w14:paraId="6630D29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55</w:t>
            </w:r>
          </w:p>
        </w:tc>
        <w:tc>
          <w:tcPr>
            <w:tcW w:w="782" w:type="dxa"/>
            <w:tcBorders>
              <w:top w:val="nil"/>
              <w:left w:val="nil"/>
              <w:bottom w:val="nil"/>
              <w:right w:val="nil"/>
            </w:tcBorders>
            <w:shd w:val="clear" w:color="auto" w:fill="auto"/>
            <w:tcMar>
              <w:top w:w="12" w:type="dxa"/>
              <w:left w:w="12" w:type="dxa"/>
              <w:right w:w="12" w:type="dxa"/>
            </w:tcMar>
            <w:vAlign w:val="top"/>
          </w:tcPr>
          <w:p w14:paraId="76D7F2F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45</w:t>
            </w:r>
          </w:p>
        </w:tc>
        <w:tc>
          <w:tcPr>
            <w:tcW w:w="782" w:type="dxa"/>
            <w:tcBorders>
              <w:top w:val="nil"/>
              <w:left w:val="nil"/>
              <w:bottom w:val="nil"/>
              <w:right w:val="nil"/>
            </w:tcBorders>
            <w:shd w:val="clear" w:color="auto" w:fill="auto"/>
            <w:tcMar>
              <w:top w:w="12" w:type="dxa"/>
              <w:left w:w="12" w:type="dxa"/>
              <w:right w:w="12" w:type="dxa"/>
            </w:tcMar>
            <w:vAlign w:val="top"/>
          </w:tcPr>
          <w:p w14:paraId="0D5899E3">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22</w:t>
            </w:r>
          </w:p>
        </w:tc>
        <w:tc>
          <w:tcPr>
            <w:tcW w:w="782" w:type="dxa"/>
            <w:tcBorders>
              <w:top w:val="nil"/>
              <w:left w:val="nil"/>
              <w:bottom w:val="nil"/>
              <w:right w:val="nil"/>
            </w:tcBorders>
            <w:shd w:val="clear" w:color="auto" w:fill="auto"/>
            <w:tcMar>
              <w:top w:w="12" w:type="dxa"/>
              <w:left w:w="12" w:type="dxa"/>
              <w:right w:w="12" w:type="dxa"/>
            </w:tcMar>
            <w:vAlign w:val="top"/>
          </w:tcPr>
          <w:p w14:paraId="6F90EC1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55</w:t>
            </w:r>
          </w:p>
        </w:tc>
        <w:tc>
          <w:tcPr>
            <w:tcW w:w="782" w:type="dxa"/>
            <w:tcBorders>
              <w:top w:val="nil"/>
              <w:left w:val="nil"/>
              <w:bottom w:val="nil"/>
              <w:right w:val="nil"/>
            </w:tcBorders>
            <w:shd w:val="clear" w:color="auto" w:fill="auto"/>
            <w:tcMar>
              <w:top w:w="12" w:type="dxa"/>
              <w:left w:w="12" w:type="dxa"/>
              <w:right w:w="12" w:type="dxa"/>
            </w:tcMar>
            <w:vAlign w:val="top"/>
          </w:tcPr>
          <w:p w14:paraId="5EC3F6D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100</w:t>
            </w:r>
          </w:p>
        </w:tc>
        <w:tc>
          <w:tcPr>
            <w:tcW w:w="782" w:type="dxa"/>
            <w:tcBorders>
              <w:top w:val="nil"/>
              <w:left w:val="nil"/>
              <w:bottom w:val="nil"/>
              <w:right w:val="nil"/>
            </w:tcBorders>
            <w:shd w:val="clear" w:color="auto" w:fill="auto"/>
            <w:tcMar>
              <w:top w:w="12" w:type="dxa"/>
              <w:left w:w="12" w:type="dxa"/>
              <w:right w:w="12" w:type="dxa"/>
            </w:tcMar>
            <w:vAlign w:val="top"/>
          </w:tcPr>
          <w:p w14:paraId="429C36F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55</w:t>
            </w:r>
          </w:p>
        </w:tc>
        <w:tc>
          <w:tcPr>
            <w:tcW w:w="782" w:type="dxa"/>
            <w:tcBorders>
              <w:top w:val="nil"/>
              <w:left w:val="nil"/>
              <w:bottom w:val="nil"/>
              <w:right w:val="nil"/>
            </w:tcBorders>
            <w:shd w:val="clear" w:color="auto" w:fill="auto"/>
            <w:tcMar>
              <w:top w:w="12" w:type="dxa"/>
              <w:left w:w="12" w:type="dxa"/>
              <w:right w:w="12" w:type="dxa"/>
            </w:tcMar>
            <w:vAlign w:val="top"/>
          </w:tcPr>
          <w:p w14:paraId="5C94C5C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99</w:t>
            </w:r>
          </w:p>
        </w:tc>
        <w:tc>
          <w:tcPr>
            <w:tcW w:w="792" w:type="dxa"/>
            <w:tcBorders>
              <w:top w:val="nil"/>
              <w:left w:val="nil"/>
              <w:bottom w:val="nil"/>
              <w:right w:val="nil"/>
            </w:tcBorders>
            <w:shd w:val="clear" w:color="auto" w:fill="auto"/>
            <w:tcMar>
              <w:top w:w="12" w:type="dxa"/>
              <w:left w:w="12" w:type="dxa"/>
              <w:right w:w="12" w:type="dxa"/>
            </w:tcMar>
            <w:vAlign w:val="top"/>
          </w:tcPr>
          <w:p w14:paraId="5BB0464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126</w:t>
            </w:r>
          </w:p>
        </w:tc>
        <w:tc>
          <w:tcPr>
            <w:tcW w:w="730" w:type="dxa"/>
            <w:tcBorders>
              <w:top w:val="nil"/>
              <w:left w:val="nil"/>
              <w:bottom w:val="nil"/>
              <w:right w:val="nil"/>
            </w:tcBorders>
            <w:shd w:val="clear" w:color="auto" w:fill="auto"/>
            <w:tcMar>
              <w:top w:w="12" w:type="dxa"/>
              <w:left w:w="12" w:type="dxa"/>
              <w:right w:w="12" w:type="dxa"/>
            </w:tcMar>
            <w:vAlign w:val="top"/>
          </w:tcPr>
          <w:p w14:paraId="3252B2DF">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557</w:t>
            </w:r>
          </w:p>
        </w:tc>
        <w:tc>
          <w:tcPr>
            <w:tcW w:w="636" w:type="dxa"/>
            <w:tcBorders>
              <w:top w:val="nil"/>
              <w:left w:val="nil"/>
              <w:bottom w:val="nil"/>
              <w:right w:val="nil"/>
            </w:tcBorders>
            <w:shd w:val="clear" w:color="auto" w:fill="auto"/>
            <w:tcMar>
              <w:top w:w="12" w:type="dxa"/>
              <w:left w:w="12" w:type="dxa"/>
              <w:right w:w="12" w:type="dxa"/>
            </w:tcMar>
            <w:vAlign w:val="top"/>
          </w:tcPr>
          <w:p w14:paraId="345ECDE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w:t>
            </w:r>
          </w:p>
        </w:tc>
      </w:tr>
      <w:tr w14:paraId="5C9A0BE3">
        <w:tblPrEx>
          <w:tblCellMar>
            <w:top w:w="0" w:type="dxa"/>
            <w:left w:w="0" w:type="dxa"/>
            <w:bottom w:w="0" w:type="dxa"/>
            <w:right w:w="0" w:type="dxa"/>
          </w:tblCellMar>
        </w:tblPrEx>
        <w:trPr>
          <w:trHeight w:val="233" w:hRule="atLeast"/>
        </w:trPr>
        <w:tc>
          <w:tcPr>
            <w:tcW w:w="690" w:type="dxa"/>
            <w:tcBorders>
              <w:top w:val="nil"/>
              <w:left w:val="nil"/>
              <w:bottom w:val="single" w:color="000000" w:sz="4" w:space="0"/>
              <w:right w:val="nil"/>
            </w:tcBorders>
            <w:shd w:val="clear" w:color="auto" w:fill="auto"/>
            <w:noWrap/>
            <w:tcMar>
              <w:top w:w="12" w:type="dxa"/>
              <w:left w:w="12" w:type="dxa"/>
              <w:right w:w="12" w:type="dxa"/>
            </w:tcMar>
            <w:vAlign w:val="center"/>
          </w:tcPr>
          <w:p w14:paraId="2921D8C0">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Arial Unicode MS" w:cs="Times New Roman"/>
                <w:i w:val="0"/>
                <w:color w:val="auto"/>
                <w:kern w:val="0"/>
                <w:sz w:val="18"/>
                <w:szCs w:val="18"/>
                <w:u w:val="none"/>
                <w:lang w:val="en-US" w:eastAsia="zh-CN" w:bidi="ar"/>
              </w:rPr>
              <w:t>合计</w:t>
            </w:r>
          </w:p>
        </w:tc>
        <w:tc>
          <w:tcPr>
            <w:tcW w:w="883" w:type="dxa"/>
            <w:tcBorders>
              <w:top w:val="nil"/>
              <w:left w:val="nil"/>
              <w:bottom w:val="single" w:color="000000" w:sz="4" w:space="0"/>
              <w:right w:val="nil"/>
            </w:tcBorders>
            <w:shd w:val="clear" w:color="auto" w:fill="auto"/>
            <w:tcMar>
              <w:top w:w="12" w:type="dxa"/>
              <w:left w:w="12" w:type="dxa"/>
              <w:right w:w="12" w:type="dxa"/>
            </w:tcMar>
            <w:vAlign w:val="top"/>
          </w:tcPr>
          <w:p w14:paraId="2517526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539</w:t>
            </w:r>
          </w:p>
        </w:tc>
        <w:tc>
          <w:tcPr>
            <w:tcW w:w="782" w:type="dxa"/>
            <w:tcBorders>
              <w:top w:val="nil"/>
              <w:left w:val="nil"/>
              <w:bottom w:val="single" w:color="000000" w:sz="4" w:space="0"/>
              <w:right w:val="nil"/>
            </w:tcBorders>
            <w:shd w:val="clear" w:color="auto" w:fill="auto"/>
            <w:tcMar>
              <w:top w:w="12" w:type="dxa"/>
              <w:left w:w="12" w:type="dxa"/>
              <w:right w:w="12" w:type="dxa"/>
            </w:tcMar>
            <w:vAlign w:val="top"/>
          </w:tcPr>
          <w:p w14:paraId="6EFF6727">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388</w:t>
            </w:r>
          </w:p>
        </w:tc>
        <w:tc>
          <w:tcPr>
            <w:tcW w:w="782" w:type="dxa"/>
            <w:tcBorders>
              <w:top w:val="nil"/>
              <w:left w:val="nil"/>
              <w:bottom w:val="single" w:color="000000" w:sz="4" w:space="0"/>
              <w:right w:val="nil"/>
            </w:tcBorders>
            <w:shd w:val="clear" w:color="auto" w:fill="auto"/>
            <w:tcMar>
              <w:top w:w="12" w:type="dxa"/>
              <w:left w:w="12" w:type="dxa"/>
              <w:right w:w="12" w:type="dxa"/>
            </w:tcMar>
            <w:vAlign w:val="top"/>
          </w:tcPr>
          <w:p w14:paraId="61BD674F">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347</w:t>
            </w:r>
          </w:p>
        </w:tc>
        <w:tc>
          <w:tcPr>
            <w:tcW w:w="782" w:type="dxa"/>
            <w:tcBorders>
              <w:top w:val="nil"/>
              <w:left w:val="nil"/>
              <w:bottom w:val="single" w:color="000000" w:sz="4" w:space="0"/>
              <w:right w:val="nil"/>
            </w:tcBorders>
            <w:shd w:val="clear" w:color="auto" w:fill="auto"/>
            <w:tcMar>
              <w:top w:w="12" w:type="dxa"/>
              <w:left w:w="12" w:type="dxa"/>
              <w:right w:w="12" w:type="dxa"/>
            </w:tcMar>
            <w:vAlign w:val="top"/>
          </w:tcPr>
          <w:p w14:paraId="487FBCC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395</w:t>
            </w:r>
          </w:p>
        </w:tc>
        <w:tc>
          <w:tcPr>
            <w:tcW w:w="782" w:type="dxa"/>
            <w:tcBorders>
              <w:top w:val="nil"/>
              <w:left w:val="nil"/>
              <w:bottom w:val="single" w:color="000000" w:sz="4" w:space="0"/>
              <w:right w:val="nil"/>
            </w:tcBorders>
            <w:shd w:val="clear" w:color="auto" w:fill="auto"/>
            <w:tcMar>
              <w:top w:w="12" w:type="dxa"/>
              <w:left w:w="12" w:type="dxa"/>
              <w:right w:w="12" w:type="dxa"/>
            </w:tcMar>
            <w:vAlign w:val="top"/>
          </w:tcPr>
          <w:p w14:paraId="7A2A75B2">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514</w:t>
            </w:r>
          </w:p>
        </w:tc>
        <w:tc>
          <w:tcPr>
            <w:tcW w:w="782" w:type="dxa"/>
            <w:tcBorders>
              <w:top w:val="nil"/>
              <w:left w:val="nil"/>
              <w:bottom w:val="single" w:color="000000" w:sz="4" w:space="0"/>
              <w:right w:val="nil"/>
            </w:tcBorders>
            <w:shd w:val="clear" w:color="auto" w:fill="auto"/>
            <w:tcMar>
              <w:top w:w="12" w:type="dxa"/>
              <w:left w:w="12" w:type="dxa"/>
              <w:right w:w="12" w:type="dxa"/>
            </w:tcMar>
            <w:vAlign w:val="top"/>
          </w:tcPr>
          <w:p w14:paraId="51F4F8E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417</w:t>
            </w:r>
          </w:p>
        </w:tc>
        <w:tc>
          <w:tcPr>
            <w:tcW w:w="782" w:type="dxa"/>
            <w:tcBorders>
              <w:top w:val="nil"/>
              <w:left w:val="nil"/>
              <w:bottom w:val="single" w:color="000000" w:sz="4" w:space="0"/>
              <w:right w:val="nil"/>
            </w:tcBorders>
            <w:shd w:val="clear" w:color="auto" w:fill="auto"/>
            <w:tcMar>
              <w:top w:w="12" w:type="dxa"/>
              <w:left w:w="12" w:type="dxa"/>
              <w:right w:w="12" w:type="dxa"/>
            </w:tcMar>
            <w:vAlign w:val="top"/>
          </w:tcPr>
          <w:p w14:paraId="6A0E4137">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602</w:t>
            </w:r>
          </w:p>
        </w:tc>
        <w:tc>
          <w:tcPr>
            <w:tcW w:w="792" w:type="dxa"/>
            <w:tcBorders>
              <w:top w:val="nil"/>
              <w:left w:val="nil"/>
              <w:bottom w:val="single" w:color="000000" w:sz="4" w:space="0"/>
              <w:right w:val="nil"/>
            </w:tcBorders>
            <w:shd w:val="clear" w:color="auto" w:fill="auto"/>
            <w:tcMar>
              <w:top w:w="12" w:type="dxa"/>
              <w:left w:w="12" w:type="dxa"/>
              <w:right w:w="12" w:type="dxa"/>
            </w:tcMar>
            <w:vAlign w:val="top"/>
          </w:tcPr>
          <w:p w14:paraId="287FA0D6">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637</w:t>
            </w:r>
          </w:p>
        </w:tc>
        <w:tc>
          <w:tcPr>
            <w:tcW w:w="730" w:type="dxa"/>
            <w:tcBorders>
              <w:top w:val="nil"/>
              <w:left w:val="nil"/>
              <w:bottom w:val="single" w:color="000000" w:sz="4" w:space="0"/>
              <w:right w:val="nil"/>
            </w:tcBorders>
            <w:shd w:val="clear" w:color="auto" w:fill="auto"/>
            <w:tcMar>
              <w:top w:w="12" w:type="dxa"/>
              <w:left w:w="12" w:type="dxa"/>
              <w:right w:w="12" w:type="dxa"/>
            </w:tcMar>
            <w:vAlign w:val="top"/>
          </w:tcPr>
          <w:p w14:paraId="39A17402">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3839</w:t>
            </w:r>
          </w:p>
        </w:tc>
        <w:tc>
          <w:tcPr>
            <w:tcW w:w="636" w:type="dxa"/>
            <w:tcBorders>
              <w:top w:val="nil"/>
              <w:left w:val="nil"/>
              <w:bottom w:val="single" w:color="000000" w:sz="4" w:space="0"/>
              <w:right w:val="nil"/>
            </w:tcBorders>
            <w:shd w:val="clear" w:color="auto" w:fill="auto"/>
            <w:tcMar>
              <w:top w:w="12" w:type="dxa"/>
              <w:left w:w="12" w:type="dxa"/>
              <w:right w:w="12" w:type="dxa"/>
            </w:tcMar>
            <w:vAlign w:val="top"/>
          </w:tcPr>
          <w:p w14:paraId="1FE90AD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top"/>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100</w:t>
            </w:r>
          </w:p>
        </w:tc>
      </w:tr>
    </w:tbl>
    <w:p w14:paraId="6114E1FF">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单株麻竹笋质量分析</w:t>
      </w:r>
      <w:r>
        <w:rPr>
          <w:rFonts w:hint="eastAsia" w:ascii="Times New Roman" w:hAnsi="Times New Roman"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根据柳州螺蛳粉原材料竹笋实际采收标准，剔除小于40 cm，大于90 cm的竹笋，对剩余的竹笋进行质量分析，详细见表3。由表3可知，采收高度为40~50 cm、50~60 cm、60~70 cm、70~80 cm的新鲜麻竹笋，单株平均质量均在7月达最大值，分别为1.85 kg、2.47 kg、2.76 kg、3.40 kg。仅80~90 cm的麻竹笋单株平均质量在8月达最大值，为3.42 kg。</w:t>
      </w:r>
    </w:p>
    <w:p w14:paraId="311218BB">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对同一采收高度的麻竹笋，不同月份间单株笋质量进行方差分析以及多重比较，结果表明：采收高度为60~70 cm的麻竹笋，不同月份间单株笋平均质量呈极显著差异性（p＜0.01）；采收高度为40~50 cm、50~60 cm、70~80 cm的麻竹笋单株质量，不同月份间均呈显著差异性（p＜0.05）。</w:t>
      </w:r>
    </w:p>
    <w:p w14:paraId="19FA23EB">
      <w:pPr>
        <w:keepNext w:val="0"/>
        <w:keepLines w:val="0"/>
        <w:pageBreakBefore w:val="0"/>
        <w:kinsoku/>
        <w:wordWrap/>
        <w:overflowPunct/>
        <w:topLinePunct w:val="0"/>
        <w:bidi w:val="0"/>
        <w:spacing w:line="300" w:lineRule="auto"/>
        <w:ind w:firstLine="562" w:firstLineChars="200"/>
        <w:jc w:val="center"/>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表3 不同月份同高度单株麻竹笋平均质量（kg）</w:t>
      </w:r>
    </w:p>
    <w:tbl>
      <w:tblPr>
        <w:tblStyle w:val="8"/>
        <w:tblW w:w="8299" w:type="dxa"/>
        <w:tblInd w:w="0" w:type="dxa"/>
        <w:shd w:val="clear" w:color="auto" w:fill="auto"/>
        <w:tblLayout w:type="fixed"/>
        <w:tblCellMar>
          <w:top w:w="0" w:type="dxa"/>
          <w:left w:w="0" w:type="dxa"/>
          <w:bottom w:w="0" w:type="dxa"/>
          <w:right w:w="0" w:type="dxa"/>
        </w:tblCellMar>
      </w:tblPr>
      <w:tblGrid>
        <w:gridCol w:w="997"/>
        <w:gridCol w:w="1460"/>
        <w:gridCol w:w="1460"/>
        <w:gridCol w:w="1460"/>
        <w:gridCol w:w="1460"/>
        <w:gridCol w:w="1462"/>
      </w:tblGrid>
      <w:tr w14:paraId="40776BD1">
        <w:tblPrEx>
          <w:shd w:val="clear" w:color="auto" w:fill="auto"/>
          <w:tblCellMar>
            <w:top w:w="0" w:type="dxa"/>
            <w:left w:w="0" w:type="dxa"/>
            <w:bottom w:w="0" w:type="dxa"/>
            <w:right w:w="0" w:type="dxa"/>
          </w:tblCellMar>
        </w:tblPrEx>
        <w:trPr>
          <w:trHeight w:val="316" w:hRule="atLeast"/>
        </w:trPr>
        <w:tc>
          <w:tcPr>
            <w:tcW w:w="997" w:type="dxa"/>
            <w:vMerge w:val="restart"/>
            <w:tcBorders>
              <w:top w:val="single" w:color="000000" w:sz="4" w:space="0"/>
              <w:left w:val="nil"/>
              <w:bottom w:val="single" w:color="000000" w:sz="4" w:space="0"/>
              <w:right w:val="nil"/>
            </w:tcBorders>
            <w:shd w:val="clear" w:color="auto" w:fill="auto"/>
            <w:noWrap/>
            <w:tcMar>
              <w:top w:w="12" w:type="dxa"/>
              <w:left w:w="12" w:type="dxa"/>
              <w:right w:w="12" w:type="dxa"/>
            </w:tcMar>
            <w:vAlign w:val="center"/>
          </w:tcPr>
          <w:p w14:paraId="762D66B7">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月份</w:t>
            </w:r>
          </w:p>
        </w:tc>
        <w:tc>
          <w:tcPr>
            <w:tcW w:w="7302" w:type="dxa"/>
            <w:gridSpan w:val="5"/>
            <w:tcBorders>
              <w:top w:val="single" w:color="000000" w:sz="4" w:space="0"/>
              <w:left w:val="nil"/>
              <w:bottom w:val="nil"/>
              <w:right w:val="nil"/>
            </w:tcBorders>
            <w:shd w:val="clear" w:color="auto" w:fill="auto"/>
            <w:noWrap/>
            <w:tcMar>
              <w:top w:w="12" w:type="dxa"/>
              <w:left w:w="12" w:type="dxa"/>
              <w:right w:w="12" w:type="dxa"/>
            </w:tcMar>
            <w:vAlign w:val="center"/>
          </w:tcPr>
          <w:p w14:paraId="172ADDEC">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cs="Times New Roman"/>
                <w:i w:val="0"/>
                <w:color w:val="000000"/>
                <w:kern w:val="0"/>
                <w:sz w:val="18"/>
                <w:szCs w:val="18"/>
                <w:u w:val="none"/>
                <w:lang w:val="en-US" w:eastAsia="zh-CN" w:bidi="ar"/>
              </w:rPr>
              <w:t>采收</w:t>
            </w:r>
            <w:r>
              <w:rPr>
                <w:rFonts w:hint="default" w:ascii="Times New Roman" w:hAnsi="Times New Roman" w:eastAsia="宋体" w:cs="Times New Roman"/>
                <w:i w:val="0"/>
                <w:color w:val="000000"/>
                <w:kern w:val="0"/>
                <w:sz w:val="18"/>
                <w:szCs w:val="18"/>
                <w:u w:val="none"/>
                <w:lang w:val="en-US" w:eastAsia="zh-CN" w:bidi="ar"/>
              </w:rPr>
              <w:t>高度</w:t>
            </w:r>
          </w:p>
        </w:tc>
      </w:tr>
      <w:tr w14:paraId="1170BF6A">
        <w:tblPrEx>
          <w:shd w:val="clear" w:color="auto" w:fill="auto"/>
          <w:tblCellMar>
            <w:top w:w="0" w:type="dxa"/>
            <w:left w:w="0" w:type="dxa"/>
            <w:bottom w:w="0" w:type="dxa"/>
            <w:right w:w="0" w:type="dxa"/>
          </w:tblCellMar>
        </w:tblPrEx>
        <w:trPr>
          <w:trHeight w:val="316" w:hRule="atLeast"/>
        </w:trPr>
        <w:tc>
          <w:tcPr>
            <w:tcW w:w="997" w:type="dxa"/>
            <w:vMerge w:val="continue"/>
            <w:tcBorders>
              <w:top w:val="single" w:color="000000" w:sz="4" w:space="0"/>
              <w:left w:val="nil"/>
              <w:bottom w:val="single" w:color="000000" w:sz="4" w:space="0"/>
              <w:right w:val="nil"/>
            </w:tcBorders>
            <w:shd w:val="clear" w:color="auto" w:fill="auto"/>
            <w:noWrap/>
            <w:tcMar>
              <w:top w:w="12" w:type="dxa"/>
              <w:left w:w="12" w:type="dxa"/>
              <w:right w:w="12" w:type="dxa"/>
            </w:tcMar>
            <w:vAlign w:val="center"/>
          </w:tcPr>
          <w:p w14:paraId="486676E1">
            <w:pPr>
              <w:keepNext w:val="0"/>
              <w:keepLines w:val="0"/>
              <w:pageBreakBefore w:val="0"/>
              <w:kinsoku/>
              <w:wordWrap/>
              <w:overflowPunct/>
              <w:topLinePunct w:val="0"/>
              <w:bidi w:val="0"/>
              <w:spacing w:line="300" w:lineRule="auto"/>
              <w:jc w:val="center"/>
              <w:rPr>
                <w:rFonts w:hint="default" w:ascii="Times New Roman" w:hAnsi="Times New Roman" w:eastAsia="宋体" w:cs="Times New Roman"/>
                <w:i w:val="0"/>
                <w:color w:val="000000"/>
                <w:sz w:val="18"/>
                <w:szCs w:val="18"/>
                <w:u w:val="none"/>
              </w:rPr>
            </w:pPr>
          </w:p>
        </w:tc>
        <w:tc>
          <w:tcPr>
            <w:tcW w:w="1460" w:type="dxa"/>
            <w:tcBorders>
              <w:top w:val="nil"/>
              <w:left w:val="nil"/>
              <w:bottom w:val="single" w:color="000000" w:sz="4" w:space="0"/>
              <w:right w:val="nil"/>
            </w:tcBorders>
            <w:shd w:val="clear" w:color="auto" w:fill="auto"/>
            <w:noWrap/>
            <w:tcMar>
              <w:top w:w="12" w:type="dxa"/>
              <w:left w:w="12" w:type="dxa"/>
              <w:right w:w="12" w:type="dxa"/>
            </w:tcMar>
            <w:vAlign w:val="center"/>
          </w:tcPr>
          <w:p w14:paraId="27493B01">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lang w:val="en-US"/>
              </w:rPr>
            </w:pPr>
            <w:r>
              <w:rPr>
                <w:rFonts w:hint="default" w:ascii="Times New Roman" w:hAnsi="Times New Roman" w:eastAsia="宋体" w:cs="Times New Roman"/>
                <w:i w:val="0"/>
                <w:color w:val="auto"/>
                <w:kern w:val="0"/>
                <w:sz w:val="18"/>
                <w:szCs w:val="18"/>
                <w:u w:val="none"/>
                <w:lang w:val="en-US" w:eastAsia="zh-CN" w:bidi="ar"/>
              </w:rPr>
              <w:t>40</w:t>
            </w:r>
            <w:r>
              <w:rPr>
                <w:rFonts w:hint="default" w:ascii="Times New Roman" w:hAnsi="Times New Roman" w:cs="Times New Roman"/>
                <w:color w:val="auto"/>
                <w:sz w:val="18"/>
                <w:szCs w:val="18"/>
                <w:lang w:val="en-US" w:eastAsia="zh-CN"/>
              </w:rPr>
              <w:t>~</w:t>
            </w:r>
            <w:r>
              <w:rPr>
                <w:rFonts w:hint="default" w:ascii="Times New Roman" w:hAnsi="Times New Roman" w:eastAsia="宋体" w:cs="Times New Roman"/>
                <w:i w:val="0"/>
                <w:color w:val="auto"/>
                <w:kern w:val="0"/>
                <w:sz w:val="18"/>
                <w:szCs w:val="18"/>
                <w:u w:val="none"/>
                <w:lang w:val="en-US" w:eastAsia="zh-CN" w:bidi="ar"/>
              </w:rPr>
              <w:t xml:space="preserve">50 </w:t>
            </w:r>
            <w:r>
              <w:rPr>
                <w:rFonts w:hint="default" w:ascii="Times New Roman" w:hAnsi="Times New Roman" w:cs="Times New Roman"/>
                <w:i w:val="0"/>
                <w:color w:val="auto"/>
                <w:kern w:val="0"/>
                <w:sz w:val="18"/>
                <w:szCs w:val="18"/>
                <w:u w:val="none"/>
                <w:lang w:val="en-US" w:eastAsia="zh-CN" w:bidi="ar"/>
              </w:rPr>
              <w:t>cm</w:t>
            </w:r>
          </w:p>
        </w:tc>
        <w:tc>
          <w:tcPr>
            <w:tcW w:w="1460" w:type="dxa"/>
            <w:tcBorders>
              <w:top w:val="nil"/>
              <w:left w:val="nil"/>
              <w:bottom w:val="single" w:color="000000" w:sz="4" w:space="0"/>
              <w:right w:val="nil"/>
            </w:tcBorders>
            <w:shd w:val="clear" w:color="auto" w:fill="auto"/>
            <w:noWrap/>
            <w:tcMar>
              <w:top w:w="12" w:type="dxa"/>
              <w:left w:w="12" w:type="dxa"/>
              <w:right w:w="12" w:type="dxa"/>
            </w:tcMar>
            <w:vAlign w:val="center"/>
          </w:tcPr>
          <w:p w14:paraId="1D5A500B">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50</w:t>
            </w:r>
            <w:r>
              <w:rPr>
                <w:rFonts w:hint="default" w:ascii="Times New Roman" w:hAnsi="Times New Roman" w:cs="Times New Roman"/>
                <w:color w:val="auto"/>
                <w:sz w:val="18"/>
                <w:szCs w:val="18"/>
                <w:lang w:val="en-US" w:eastAsia="zh-CN"/>
              </w:rPr>
              <w:t>~</w:t>
            </w:r>
            <w:r>
              <w:rPr>
                <w:rFonts w:hint="default" w:ascii="Times New Roman" w:hAnsi="Times New Roman" w:eastAsia="宋体" w:cs="Times New Roman"/>
                <w:i w:val="0"/>
                <w:color w:val="auto"/>
                <w:kern w:val="0"/>
                <w:sz w:val="18"/>
                <w:szCs w:val="18"/>
                <w:u w:val="none"/>
                <w:lang w:val="en-US" w:eastAsia="zh-CN" w:bidi="ar"/>
              </w:rPr>
              <w:t xml:space="preserve">60 </w:t>
            </w:r>
            <w:r>
              <w:rPr>
                <w:rFonts w:hint="default" w:ascii="Times New Roman" w:hAnsi="Times New Roman" w:cs="Times New Roman"/>
                <w:i w:val="0"/>
                <w:color w:val="auto"/>
                <w:kern w:val="0"/>
                <w:sz w:val="18"/>
                <w:szCs w:val="18"/>
                <w:u w:val="none"/>
                <w:lang w:val="en-US" w:eastAsia="zh-CN" w:bidi="ar"/>
              </w:rPr>
              <w:t>cm</w:t>
            </w:r>
          </w:p>
        </w:tc>
        <w:tc>
          <w:tcPr>
            <w:tcW w:w="1460" w:type="dxa"/>
            <w:tcBorders>
              <w:top w:val="nil"/>
              <w:left w:val="nil"/>
              <w:bottom w:val="single" w:color="000000" w:sz="4" w:space="0"/>
              <w:right w:val="nil"/>
            </w:tcBorders>
            <w:shd w:val="clear" w:color="auto" w:fill="auto"/>
            <w:noWrap/>
            <w:tcMar>
              <w:top w:w="12" w:type="dxa"/>
              <w:left w:w="12" w:type="dxa"/>
              <w:right w:w="12" w:type="dxa"/>
            </w:tcMar>
            <w:vAlign w:val="center"/>
          </w:tcPr>
          <w:p w14:paraId="5ED087F0">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60</w:t>
            </w:r>
            <w:r>
              <w:rPr>
                <w:rFonts w:hint="default" w:ascii="Times New Roman" w:hAnsi="Times New Roman" w:cs="Times New Roman"/>
                <w:color w:val="auto"/>
                <w:sz w:val="18"/>
                <w:szCs w:val="18"/>
                <w:lang w:val="en-US" w:eastAsia="zh-CN"/>
              </w:rPr>
              <w:t>~</w:t>
            </w:r>
            <w:r>
              <w:rPr>
                <w:rFonts w:hint="default" w:ascii="Times New Roman" w:hAnsi="Times New Roman" w:eastAsia="宋体" w:cs="Times New Roman"/>
                <w:i w:val="0"/>
                <w:color w:val="auto"/>
                <w:kern w:val="0"/>
                <w:sz w:val="18"/>
                <w:szCs w:val="18"/>
                <w:u w:val="none"/>
                <w:lang w:val="en-US" w:eastAsia="zh-CN" w:bidi="ar"/>
              </w:rPr>
              <w:t xml:space="preserve">70 </w:t>
            </w:r>
            <w:r>
              <w:rPr>
                <w:rFonts w:hint="default" w:ascii="Times New Roman" w:hAnsi="Times New Roman" w:cs="Times New Roman"/>
                <w:i w:val="0"/>
                <w:color w:val="auto"/>
                <w:kern w:val="0"/>
                <w:sz w:val="18"/>
                <w:szCs w:val="18"/>
                <w:u w:val="none"/>
                <w:lang w:val="en-US" w:eastAsia="zh-CN" w:bidi="ar"/>
              </w:rPr>
              <w:t>cm</w:t>
            </w:r>
          </w:p>
        </w:tc>
        <w:tc>
          <w:tcPr>
            <w:tcW w:w="1460" w:type="dxa"/>
            <w:tcBorders>
              <w:top w:val="nil"/>
              <w:left w:val="nil"/>
              <w:bottom w:val="single" w:color="000000" w:sz="4" w:space="0"/>
              <w:right w:val="nil"/>
            </w:tcBorders>
            <w:shd w:val="clear" w:color="auto" w:fill="auto"/>
            <w:noWrap/>
            <w:tcMar>
              <w:top w:w="12" w:type="dxa"/>
              <w:left w:w="12" w:type="dxa"/>
              <w:right w:w="12" w:type="dxa"/>
            </w:tcMar>
            <w:vAlign w:val="center"/>
          </w:tcPr>
          <w:p w14:paraId="7ECA9E26">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70</w:t>
            </w:r>
            <w:r>
              <w:rPr>
                <w:rFonts w:hint="default" w:ascii="Times New Roman" w:hAnsi="Times New Roman" w:cs="Times New Roman"/>
                <w:color w:val="auto"/>
                <w:sz w:val="18"/>
                <w:szCs w:val="18"/>
                <w:lang w:val="en-US" w:eastAsia="zh-CN"/>
              </w:rPr>
              <w:t>~</w:t>
            </w:r>
            <w:r>
              <w:rPr>
                <w:rFonts w:hint="default" w:ascii="Times New Roman" w:hAnsi="Times New Roman" w:eastAsia="宋体" w:cs="Times New Roman"/>
                <w:i w:val="0"/>
                <w:color w:val="auto"/>
                <w:kern w:val="0"/>
                <w:sz w:val="18"/>
                <w:szCs w:val="18"/>
                <w:u w:val="none"/>
                <w:lang w:val="en-US" w:eastAsia="zh-CN" w:bidi="ar"/>
              </w:rPr>
              <w:t xml:space="preserve">80 </w:t>
            </w:r>
            <w:r>
              <w:rPr>
                <w:rFonts w:hint="default" w:ascii="Times New Roman" w:hAnsi="Times New Roman" w:cs="Times New Roman"/>
                <w:i w:val="0"/>
                <w:color w:val="auto"/>
                <w:kern w:val="0"/>
                <w:sz w:val="18"/>
                <w:szCs w:val="18"/>
                <w:u w:val="none"/>
                <w:lang w:val="en-US" w:eastAsia="zh-CN" w:bidi="ar"/>
              </w:rPr>
              <w:t>cm</w:t>
            </w:r>
          </w:p>
        </w:tc>
        <w:tc>
          <w:tcPr>
            <w:tcW w:w="1462" w:type="dxa"/>
            <w:tcBorders>
              <w:top w:val="nil"/>
              <w:left w:val="nil"/>
              <w:bottom w:val="single" w:color="000000" w:sz="4" w:space="0"/>
              <w:right w:val="nil"/>
            </w:tcBorders>
            <w:shd w:val="clear" w:color="auto" w:fill="auto"/>
            <w:noWrap/>
            <w:tcMar>
              <w:top w:w="12" w:type="dxa"/>
              <w:left w:w="12" w:type="dxa"/>
              <w:right w:w="12" w:type="dxa"/>
            </w:tcMar>
            <w:vAlign w:val="center"/>
          </w:tcPr>
          <w:p w14:paraId="682AF5D4">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80</w:t>
            </w:r>
            <w:r>
              <w:rPr>
                <w:rFonts w:hint="default" w:ascii="Times New Roman" w:hAnsi="Times New Roman" w:cs="Times New Roman"/>
                <w:color w:val="auto"/>
                <w:sz w:val="18"/>
                <w:szCs w:val="18"/>
                <w:lang w:val="en-US" w:eastAsia="zh-CN"/>
              </w:rPr>
              <w:t>~</w:t>
            </w:r>
            <w:r>
              <w:rPr>
                <w:rFonts w:hint="default" w:ascii="Times New Roman" w:hAnsi="Times New Roman" w:eastAsia="宋体" w:cs="Times New Roman"/>
                <w:i w:val="0"/>
                <w:color w:val="auto"/>
                <w:kern w:val="0"/>
                <w:sz w:val="18"/>
                <w:szCs w:val="18"/>
                <w:u w:val="none"/>
                <w:lang w:val="en-US" w:eastAsia="zh-CN" w:bidi="ar"/>
              </w:rPr>
              <w:t xml:space="preserve">90 </w:t>
            </w:r>
            <w:r>
              <w:rPr>
                <w:rFonts w:hint="default" w:ascii="Times New Roman" w:hAnsi="Times New Roman" w:cs="Times New Roman"/>
                <w:i w:val="0"/>
                <w:color w:val="auto"/>
                <w:kern w:val="0"/>
                <w:sz w:val="18"/>
                <w:szCs w:val="18"/>
                <w:u w:val="none"/>
                <w:lang w:val="en-US" w:eastAsia="zh-CN" w:bidi="ar"/>
              </w:rPr>
              <w:t>cm</w:t>
            </w:r>
          </w:p>
        </w:tc>
      </w:tr>
      <w:tr w14:paraId="50065DBA">
        <w:tblPrEx>
          <w:shd w:val="clear" w:color="auto" w:fill="auto"/>
          <w:tblCellMar>
            <w:top w:w="0" w:type="dxa"/>
            <w:left w:w="0" w:type="dxa"/>
            <w:bottom w:w="0" w:type="dxa"/>
            <w:right w:w="0" w:type="dxa"/>
          </w:tblCellMar>
        </w:tblPrEx>
        <w:trPr>
          <w:trHeight w:val="333" w:hRule="atLeast"/>
        </w:trPr>
        <w:tc>
          <w:tcPr>
            <w:tcW w:w="997" w:type="dxa"/>
            <w:tcBorders>
              <w:top w:val="nil"/>
              <w:left w:val="nil"/>
              <w:bottom w:val="nil"/>
              <w:right w:val="nil"/>
            </w:tcBorders>
            <w:shd w:val="clear" w:color="auto" w:fill="auto"/>
            <w:noWrap/>
            <w:tcMar>
              <w:top w:w="12" w:type="dxa"/>
              <w:left w:w="12" w:type="dxa"/>
              <w:right w:w="12" w:type="dxa"/>
            </w:tcMar>
            <w:vAlign w:val="center"/>
          </w:tcPr>
          <w:p w14:paraId="00CB078B">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6月</w:t>
            </w:r>
          </w:p>
        </w:tc>
        <w:tc>
          <w:tcPr>
            <w:tcW w:w="1460" w:type="dxa"/>
            <w:tcBorders>
              <w:top w:val="nil"/>
              <w:left w:val="nil"/>
              <w:bottom w:val="nil"/>
              <w:right w:val="nil"/>
            </w:tcBorders>
            <w:shd w:val="clear" w:color="auto" w:fill="auto"/>
            <w:noWrap/>
            <w:tcMar>
              <w:top w:w="12" w:type="dxa"/>
              <w:left w:w="12" w:type="dxa"/>
              <w:right w:w="12" w:type="dxa"/>
            </w:tcMar>
            <w:vAlign w:val="center"/>
          </w:tcPr>
          <w:p w14:paraId="467A5E5D">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1.82±0.89 ab</w:t>
            </w:r>
          </w:p>
        </w:tc>
        <w:tc>
          <w:tcPr>
            <w:tcW w:w="1460" w:type="dxa"/>
            <w:tcBorders>
              <w:top w:val="nil"/>
              <w:left w:val="nil"/>
              <w:bottom w:val="nil"/>
              <w:right w:val="nil"/>
            </w:tcBorders>
            <w:shd w:val="clear" w:color="auto" w:fill="auto"/>
            <w:noWrap/>
            <w:tcMar>
              <w:top w:w="12" w:type="dxa"/>
              <w:left w:w="12" w:type="dxa"/>
              <w:right w:w="12" w:type="dxa"/>
            </w:tcMar>
            <w:vAlign w:val="center"/>
          </w:tcPr>
          <w:p w14:paraId="14B4B829">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1.88±0.88 ab</w:t>
            </w:r>
          </w:p>
        </w:tc>
        <w:tc>
          <w:tcPr>
            <w:tcW w:w="1460" w:type="dxa"/>
            <w:tcBorders>
              <w:top w:val="nil"/>
              <w:left w:val="nil"/>
              <w:bottom w:val="nil"/>
              <w:right w:val="nil"/>
            </w:tcBorders>
            <w:shd w:val="clear" w:color="auto" w:fill="auto"/>
            <w:noWrap/>
            <w:tcMar>
              <w:top w:w="12" w:type="dxa"/>
              <w:left w:w="12" w:type="dxa"/>
              <w:right w:w="12" w:type="dxa"/>
            </w:tcMar>
            <w:vAlign w:val="center"/>
          </w:tcPr>
          <w:p w14:paraId="241FCD03">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2.01±0.94 </w:t>
            </w:r>
            <w:r>
              <w:rPr>
                <w:rFonts w:hint="default" w:ascii="Times New Roman" w:hAnsi="Times New Roman" w:cs="Times New Roman"/>
                <w:i w:val="0"/>
                <w:color w:val="auto"/>
                <w:kern w:val="0"/>
                <w:sz w:val="18"/>
                <w:szCs w:val="18"/>
                <w:u w:val="none"/>
                <w:lang w:val="en-US" w:eastAsia="zh-CN" w:bidi="ar"/>
              </w:rPr>
              <w:t>B</w:t>
            </w:r>
          </w:p>
        </w:tc>
        <w:tc>
          <w:tcPr>
            <w:tcW w:w="1460" w:type="dxa"/>
            <w:tcBorders>
              <w:top w:val="nil"/>
              <w:left w:val="nil"/>
              <w:bottom w:val="nil"/>
              <w:right w:val="nil"/>
            </w:tcBorders>
            <w:shd w:val="clear" w:color="auto" w:fill="auto"/>
            <w:noWrap/>
            <w:tcMar>
              <w:top w:w="12" w:type="dxa"/>
              <w:left w:w="12" w:type="dxa"/>
              <w:right w:w="12" w:type="dxa"/>
            </w:tcMar>
            <w:vAlign w:val="center"/>
          </w:tcPr>
          <w:p w14:paraId="192ABFFB">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2.72±1.20 ab</w:t>
            </w:r>
          </w:p>
        </w:tc>
        <w:tc>
          <w:tcPr>
            <w:tcW w:w="1462" w:type="dxa"/>
            <w:tcBorders>
              <w:top w:val="nil"/>
              <w:left w:val="nil"/>
              <w:bottom w:val="nil"/>
              <w:right w:val="nil"/>
            </w:tcBorders>
            <w:shd w:val="clear" w:color="auto" w:fill="auto"/>
            <w:noWrap/>
            <w:tcMar>
              <w:top w:w="12" w:type="dxa"/>
              <w:left w:w="12" w:type="dxa"/>
              <w:right w:w="12" w:type="dxa"/>
            </w:tcMar>
            <w:vAlign w:val="center"/>
          </w:tcPr>
          <w:p w14:paraId="477C3E60">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3.30±0.94 </w:t>
            </w:r>
          </w:p>
        </w:tc>
      </w:tr>
      <w:tr w14:paraId="7086A832">
        <w:tblPrEx>
          <w:tblCellMar>
            <w:top w:w="0" w:type="dxa"/>
            <w:left w:w="0" w:type="dxa"/>
            <w:bottom w:w="0" w:type="dxa"/>
            <w:right w:w="0" w:type="dxa"/>
          </w:tblCellMar>
        </w:tblPrEx>
        <w:trPr>
          <w:trHeight w:val="324" w:hRule="atLeast"/>
        </w:trPr>
        <w:tc>
          <w:tcPr>
            <w:tcW w:w="997" w:type="dxa"/>
            <w:tcBorders>
              <w:top w:val="nil"/>
              <w:left w:val="nil"/>
              <w:bottom w:val="nil"/>
              <w:right w:val="nil"/>
            </w:tcBorders>
            <w:shd w:val="clear" w:color="auto" w:fill="auto"/>
            <w:noWrap/>
            <w:tcMar>
              <w:top w:w="12" w:type="dxa"/>
              <w:left w:w="12" w:type="dxa"/>
              <w:right w:w="12" w:type="dxa"/>
            </w:tcMar>
            <w:vAlign w:val="center"/>
          </w:tcPr>
          <w:p w14:paraId="46F441CF">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7月</w:t>
            </w:r>
          </w:p>
        </w:tc>
        <w:tc>
          <w:tcPr>
            <w:tcW w:w="1460" w:type="dxa"/>
            <w:tcBorders>
              <w:top w:val="nil"/>
              <w:left w:val="nil"/>
              <w:bottom w:val="nil"/>
              <w:right w:val="nil"/>
            </w:tcBorders>
            <w:shd w:val="clear" w:color="auto" w:fill="auto"/>
            <w:noWrap/>
            <w:tcMar>
              <w:top w:w="12" w:type="dxa"/>
              <w:left w:w="12" w:type="dxa"/>
              <w:right w:w="12" w:type="dxa"/>
            </w:tcMar>
            <w:vAlign w:val="center"/>
          </w:tcPr>
          <w:p w14:paraId="2639AD53">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1.85±0.62 a</w:t>
            </w:r>
          </w:p>
        </w:tc>
        <w:tc>
          <w:tcPr>
            <w:tcW w:w="1460" w:type="dxa"/>
            <w:tcBorders>
              <w:top w:val="nil"/>
              <w:left w:val="nil"/>
              <w:bottom w:val="nil"/>
              <w:right w:val="nil"/>
            </w:tcBorders>
            <w:shd w:val="clear" w:color="auto" w:fill="auto"/>
            <w:noWrap/>
            <w:tcMar>
              <w:top w:w="12" w:type="dxa"/>
              <w:left w:w="12" w:type="dxa"/>
              <w:right w:w="12" w:type="dxa"/>
            </w:tcMar>
            <w:vAlign w:val="center"/>
          </w:tcPr>
          <w:p w14:paraId="59F2E996">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2.47±0.87 a</w:t>
            </w:r>
          </w:p>
        </w:tc>
        <w:tc>
          <w:tcPr>
            <w:tcW w:w="1460" w:type="dxa"/>
            <w:tcBorders>
              <w:top w:val="nil"/>
              <w:left w:val="nil"/>
              <w:bottom w:val="nil"/>
              <w:right w:val="nil"/>
            </w:tcBorders>
            <w:shd w:val="clear" w:color="auto" w:fill="auto"/>
            <w:noWrap/>
            <w:tcMar>
              <w:top w:w="12" w:type="dxa"/>
              <w:left w:w="12" w:type="dxa"/>
              <w:right w:w="12" w:type="dxa"/>
            </w:tcMar>
            <w:vAlign w:val="center"/>
          </w:tcPr>
          <w:p w14:paraId="1A276AEF">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2.76±1.01 </w:t>
            </w:r>
            <w:r>
              <w:rPr>
                <w:rFonts w:hint="default" w:ascii="Times New Roman" w:hAnsi="Times New Roman" w:cs="Times New Roman"/>
                <w:i w:val="0"/>
                <w:color w:val="auto"/>
                <w:kern w:val="0"/>
                <w:sz w:val="18"/>
                <w:szCs w:val="18"/>
                <w:u w:val="none"/>
                <w:lang w:val="en-US" w:eastAsia="zh-CN" w:bidi="ar"/>
              </w:rPr>
              <w:t>A</w:t>
            </w:r>
          </w:p>
        </w:tc>
        <w:tc>
          <w:tcPr>
            <w:tcW w:w="1460" w:type="dxa"/>
            <w:tcBorders>
              <w:top w:val="nil"/>
              <w:left w:val="nil"/>
              <w:bottom w:val="nil"/>
              <w:right w:val="nil"/>
            </w:tcBorders>
            <w:shd w:val="clear" w:color="auto" w:fill="auto"/>
            <w:noWrap/>
            <w:tcMar>
              <w:top w:w="12" w:type="dxa"/>
              <w:left w:w="12" w:type="dxa"/>
              <w:right w:w="12" w:type="dxa"/>
            </w:tcMar>
            <w:vAlign w:val="center"/>
          </w:tcPr>
          <w:p w14:paraId="2F2639F4">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3.40±1.23 a</w:t>
            </w:r>
          </w:p>
        </w:tc>
        <w:tc>
          <w:tcPr>
            <w:tcW w:w="1462" w:type="dxa"/>
            <w:tcBorders>
              <w:top w:val="nil"/>
              <w:left w:val="nil"/>
              <w:bottom w:val="nil"/>
              <w:right w:val="nil"/>
            </w:tcBorders>
            <w:shd w:val="clear" w:color="auto" w:fill="auto"/>
            <w:noWrap/>
            <w:tcMar>
              <w:top w:w="12" w:type="dxa"/>
              <w:left w:w="12" w:type="dxa"/>
              <w:right w:w="12" w:type="dxa"/>
            </w:tcMar>
            <w:vAlign w:val="center"/>
          </w:tcPr>
          <w:p w14:paraId="2740B86F">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2.94±0.87 </w:t>
            </w:r>
          </w:p>
        </w:tc>
      </w:tr>
      <w:tr w14:paraId="311F8180">
        <w:tblPrEx>
          <w:shd w:val="clear" w:color="auto" w:fill="auto"/>
          <w:tblCellMar>
            <w:top w:w="0" w:type="dxa"/>
            <w:left w:w="0" w:type="dxa"/>
            <w:bottom w:w="0" w:type="dxa"/>
            <w:right w:w="0" w:type="dxa"/>
          </w:tblCellMar>
        </w:tblPrEx>
        <w:trPr>
          <w:trHeight w:val="324" w:hRule="atLeast"/>
        </w:trPr>
        <w:tc>
          <w:tcPr>
            <w:tcW w:w="997" w:type="dxa"/>
            <w:tcBorders>
              <w:top w:val="nil"/>
              <w:left w:val="nil"/>
              <w:bottom w:val="nil"/>
              <w:right w:val="nil"/>
            </w:tcBorders>
            <w:shd w:val="clear" w:color="auto" w:fill="auto"/>
            <w:noWrap/>
            <w:tcMar>
              <w:top w:w="12" w:type="dxa"/>
              <w:left w:w="12" w:type="dxa"/>
              <w:right w:w="12" w:type="dxa"/>
            </w:tcMar>
            <w:vAlign w:val="center"/>
          </w:tcPr>
          <w:p w14:paraId="3980EA09">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8月</w:t>
            </w:r>
          </w:p>
        </w:tc>
        <w:tc>
          <w:tcPr>
            <w:tcW w:w="1460" w:type="dxa"/>
            <w:tcBorders>
              <w:top w:val="nil"/>
              <w:left w:val="nil"/>
              <w:bottom w:val="nil"/>
              <w:right w:val="nil"/>
            </w:tcBorders>
            <w:shd w:val="clear" w:color="auto" w:fill="auto"/>
            <w:noWrap/>
            <w:tcMar>
              <w:top w:w="12" w:type="dxa"/>
              <w:left w:w="12" w:type="dxa"/>
              <w:right w:w="12" w:type="dxa"/>
            </w:tcMar>
            <w:vAlign w:val="center"/>
          </w:tcPr>
          <w:p w14:paraId="1B3EA4F3">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1.58±0.52 ab</w:t>
            </w:r>
          </w:p>
        </w:tc>
        <w:tc>
          <w:tcPr>
            <w:tcW w:w="1460" w:type="dxa"/>
            <w:tcBorders>
              <w:top w:val="nil"/>
              <w:left w:val="nil"/>
              <w:bottom w:val="nil"/>
              <w:right w:val="nil"/>
            </w:tcBorders>
            <w:shd w:val="clear" w:color="auto" w:fill="auto"/>
            <w:noWrap/>
            <w:tcMar>
              <w:top w:w="12" w:type="dxa"/>
              <w:left w:w="12" w:type="dxa"/>
              <w:right w:w="12" w:type="dxa"/>
            </w:tcMar>
            <w:vAlign w:val="center"/>
          </w:tcPr>
          <w:p w14:paraId="0B47C430">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2.00±0.67 ab</w:t>
            </w:r>
          </w:p>
        </w:tc>
        <w:tc>
          <w:tcPr>
            <w:tcW w:w="1460" w:type="dxa"/>
            <w:tcBorders>
              <w:top w:val="nil"/>
              <w:left w:val="nil"/>
              <w:bottom w:val="nil"/>
              <w:right w:val="nil"/>
            </w:tcBorders>
            <w:shd w:val="clear" w:color="auto" w:fill="auto"/>
            <w:noWrap/>
            <w:tcMar>
              <w:top w:w="12" w:type="dxa"/>
              <w:left w:w="12" w:type="dxa"/>
              <w:right w:w="12" w:type="dxa"/>
            </w:tcMar>
            <w:vAlign w:val="center"/>
          </w:tcPr>
          <w:p w14:paraId="112BCA2E">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2.26±0.79 </w:t>
            </w:r>
            <w:r>
              <w:rPr>
                <w:rFonts w:hint="default" w:ascii="Times New Roman" w:hAnsi="Times New Roman" w:cs="Times New Roman"/>
                <w:i w:val="0"/>
                <w:color w:val="auto"/>
                <w:kern w:val="0"/>
                <w:sz w:val="18"/>
                <w:szCs w:val="18"/>
                <w:u w:val="none"/>
                <w:lang w:val="en-US" w:eastAsia="zh-CN" w:bidi="ar"/>
              </w:rPr>
              <w:t>AB</w:t>
            </w:r>
          </w:p>
        </w:tc>
        <w:tc>
          <w:tcPr>
            <w:tcW w:w="1460" w:type="dxa"/>
            <w:tcBorders>
              <w:top w:val="nil"/>
              <w:left w:val="nil"/>
              <w:bottom w:val="nil"/>
              <w:right w:val="nil"/>
            </w:tcBorders>
            <w:shd w:val="clear" w:color="auto" w:fill="auto"/>
            <w:noWrap/>
            <w:tcMar>
              <w:top w:w="12" w:type="dxa"/>
              <w:left w:w="12" w:type="dxa"/>
              <w:right w:w="12" w:type="dxa"/>
            </w:tcMar>
            <w:vAlign w:val="center"/>
          </w:tcPr>
          <w:p w14:paraId="5FF4DA61">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2.59±1.03 ab</w:t>
            </w:r>
          </w:p>
        </w:tc>
        <w:tc>
          <w:tcPr>
            <w:tcW w:w="1462" w:type="dxa"/>
            <w:tcBorders>
              <w:top w:val="nil"/>
              <w:left w:val="nil"/>
              <w:bottom w:val="nil"/>
              <w:right w:val="nil"/>
            </w:tcBorders>
            <w:shd w:val="clear" w:color="auto" w:fill="auto"/>
            <w:noWrap/>
            <w:tcMar>
              <w:top w:w="12" w:type="dxa"/>
              <w:left w:w="12" w:type="dxa"/>
              <w:right w:w="12" w:type="dxa"/>
            </w:tcMar>
            <w:vAlign w:val="center"/>
          </w:tcPr>
          <w:p w14:paraId="2E45766B">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3.42±1.36 </w:t>
            </w:r>
          </w:p>
        </w:tc>
      </w:tr>
      <w:tr w14:paraId="5B118956">
        <w:tblPrEx>
          <w:tblCellMar>
            <w:top w:w="0" w:type="dxa"/>
            <w:left w:w="0" w:type="dxa"/>
            <w:bottom w:w="0" w:type="dxa"/>
            <w:right w:w="0" w:type="dxa"/>
          </w:tblCellMar>
        </w:tblPrEx>
        <w:trPr>
          <w:trHeight w:val="324" w:hRule="atLeast"/>
        </w:trPr>
        <w:tc>
          <w:tcPr>
            <w:tcW w:w="997" w:type="dxa"/>
            <w:tcBorders>
              <w:top w:val="nil"/>
              <w:left w:val="nil"/>
              <w:bottom w:val="nil"/>
              <w:right w:val="nil"/>
            </w:tcBorders>
            <w:shd w:val="clear" w:color="auto" w:fill="auto"/>
            <w:noWrap/>
            <w:tcMar>
              <w:top w:w="12" w:type="dxa"/>
              <w:left w:w="12" w:type="dxa"/>
              <w:right w:w="12" w:type="dxa"/>
            </w:tcMar>
            <w:vAlign w:val="center"/>
          </w:tcPr>
          <w:p w14:paraId="2B3DFAE5">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9月</w:t>
            </w:r>
          </w:p>
        </w:tc>
        <w:tc>
          <w:tcPr>
            <w:tcW w:w="1460" w:type="dxa"/>
            <w:tcBorders>
              <w:top w:val="nil"/>
              <w:left w:val="nil"/>
              <w:bottom w:val="nil"/>
              <w:right w:val="nil"/>
            </w:tcBorders>
            <w:shd w:val="clear" w:color="auto" w:fill="auto"/>
            <w:noWrap/>
            <w:tcMar>
              <w:top w:w="12" w:type="dxa"/>
              <w:left w:w="12" w:type="dxa"/>
              <w:right w:w="12" w:type="dxa"/>
            </w:tcMar>
            <w:vAlign w:val="center"/>
          </w:tcPr>
          <w:p w14:paraId="610F0DD7">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1.18±0.40 b</w:t>
            </w:r>
          </w:p>
        </w:tc>
        <w:tc>
          <w:tcPr>
            <w:tcW w:w="1460" w:type="dxa"/>
            <w:tcBorders>
              <w:top w:val="nil"/>
              <w:left w:val="nil"/>
              <w:bottom w:val="nil"/>
              <w:right w:val="nil"/>
            </w:tcBorders>
            <w:shd w:val="clear" w:color="auto" w:fill="auto"/>
            <w:noWrap/>
            <w:tcMar>
              <w:top w:w="12" w:type="dxa"/>
              <w:left w:w="12" w:type="dxa"/>
              <w:right w:w="12" w:type="dxa"/>
            </w:tcMar>
            <w:vAlign w:val="center"/>
          </w:tcPr>
          <w:p w14:paraId="745DDBB2">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1.47±0.55 b</w:t>
            </w:r>
          </w:p>
        </w:tc>
        <w:tc>
          <w:tcPr>
            <w:tcW w:w="1460" w:type="dxa"/>
            <w:tcBorders>
              <w:top w:val="nil"/>
              <w:left w:val="nil"/>
              <w:bottom w:val="nil"/>
              <w:right w:val="nil"/>
            </w:tcBorders>
            <w:shd w:val="clear" w:color="auto" w:fill="auto"/>
            <w:noWrap/>
            <w:tcMar>
              <w:top w:w="12" w:type="dxa"/>
              <w:left w:w="12" w:type="dxa"/>
              <w:right w:w="12" w:type="dxa"/>
            </w:tcMar>
            <w:vAlign w:val="center"/>
          </w:tcPr>
          <w:p w14:paraId="53C32F9B">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1.83±0.61 </w:t>
            </w:r>
            <w:r>
              <w:rPr>
                <w:rFonts w:hint="default" w:ascii="Times New Roman" w:hAnsi="Times New Roman" w:cs="Times New Roman"/>
                <w:i w:val="0"/>
                <w:color w:val="auto"/>
                <w:kern w:val="0"/>
                <w:sz w:val="18"/>
                <w:szCs w:val="18"/>
                <w:u w:val="none"/>
                <w:lang w:val="en-US" w:eastAsia="zh-CN" w:bidi="ar"/>
              </w:rPr>
              <w:t>B</w:t>
            </w:r>
          </w:p>
        </w:tc>
        <w:tc>
          <w:tcPr>
            <w:tcW w:w="1460" w:type="dxa"/>
            <w:tcBorders>
              <w:top w:val="nil"/>
              <w:left w:val="nil"/>
              <w:bottom w:val="nil"/>
              <w:right w:val="nil"/>
            </w:tcBorders>
            <w:shd w:val="clear" w:color="auto" w:fill="auto"/>
            <w:noWrap/>
            <w:tcMar>
              <w:top w:w="12" w:type="dxa"/>
              <w:left w:w="12" w:type="dxa"/>
              <w:right w:w="12" w:type="dxa"/>
            </w:tcMar>
            <w:vAlign w:val="center"/>
          </w:tcPr>
          <w:p w14:paraId="2A0C5B1F">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2.04±0.71 b</w:t>
            </w:r>
          </w:p>
        </w:tc>
        <w:tc>
          <w:tcPr>
            <w:tcW w:w="1462" w:type="dxa"/>
            <w:tcBorders>
              <w:top w:val="nil"/>
              <w:left w:val="nil"/>
              <w:bottom w:val="nil"/>
              <w:right w:val="nil"/>
            </w:tcBorders>
            <w:shd w:val="clear" w:color="auto" w:fill="auto"/>
            <w:noWrap/>
            <w:tcMar>
              <w:top w:w="12" w:type="dxa"/>
              <w:left w:w="12" w:type="dxa"/>
              <w:right w:w="12" w:type="dxa"/>
            </w:tcMar>
            <w:vAlign w:val="center"/>
          </w:tcPr>
          <w:p w14:paraId="5AA40B98">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2.48±0.99 </w:t>
            </w:r>
          </w:p>
        </w:tc>
      </w:tr>
      <w:tr w14:paraId="71528362">
        <w:tblPrEx>
          <w:shd w:val="clear" w:color="auto" w:fill="auto"/>
          <w:tblCellMar>
            <w:top w:w="0" w:type="dxa"/>
            <w:left w:w="0" w:type="dxa"/>
            <w:bottom w:w="0" w:type="dxa"/>
            <w:right w:w="0" w:type="dxa"/>
          </w:tblCellMar>
        </w:tblPrEx>
        <w:trPr>
          <w:trHeight w:val="333" w:hRule="atLeast"/>
        </w:trPr>
        <w:tc>
          <w:tcPr>
            <w:tcW w:w="997" w:type="dxa"/>
            <w:tcBorders>
              <w:top w:val="nil"/>
              <w:left w:val="nil"/>
              <w:bottom w:val="single" w:color="000000" w:sz="4" w:space="0"/>
              <w:right w:val="nil"/>
            </w:tcBorders>
            <w:shd w:val="clear" w:color="auto" w:fill="auto"/>
            <w:noWrap/>
            <w:tcMar>
              <w:top w:w="12" w:type="dxa"/>
              <w:left w:w="12" w:type="dxa"/>
              <w:right w:w="12" w:type="dxa"/>
            </w:tcMar>
            <w:vAlign w:val="center"/>
          </w:tcPr>
          <w:p w14:paraId="7AE17B6A">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平均值</w:t>
            </w:r>
          </w:p>
        </w:tc>
        <w:tc>
          <w:tcPr>
            <w:tcW w:w="1460" w:type="dxa"/>
            <w:tcBorders>
              <w:top w:val="nil"/>
              <w:left w:val="nil"/>
              <w:bottom w:val="single" w:color="000000" w:sz="4" w:space="0"/>
              <w:right w:val="nil"/>
            </w:tcBorders>
            <w:shd w:val="clear" w:color="auto" w:fill="auto"/>
            <w:noWrap/>
            <w:tcMar>
              <w:top w:w="12" w:type="dxa"/>
              <w:left w:w="12" w:type="dxa"/>
              <w:right w:w="12" w:type="dxa"/>
            </w:tcMar>
            <w:vAlign w:val="center"/>
          </w:tcPr>
          <w:p w14:paraId="235EB6D1">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1.65±0.60</w:t>
            </w:r>
          </w:p>
        </w:tc>
        <w:tc>
          <w:tcPr>
            <w:tcW w:w="1460" w:type="dxa"/>
            <w:tcBorders>
              <w:top w:val="nil"/>
              <w:left w:val="nil"/>
              <w:bottom w:val="single" w:color="000000" w:sz="4" w:space="0"/>
              <w:right w:val="nil"/>
            </w:tcBorders>
            <w:shd w:val="clear" w:color="auto" w:fill="auto"/>
            <w:noWrap/>
            <w:tcMar>
              <w:top w:w="12" w:type="dxa"/>
              <w:left w:w="12" w:type="dxa"/>
              <w:right w:w="12" w:type="dxa"/>
            </w:tcMar>
            <w:vAlign w:val="center"/>
          </w:tcPr>
          <w:p w14:paraId="39FC3195">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2.13±0.82</w:t>
            </w:r>
          </w:p>
        </w:tc>
        <w:tc>
          <w:tcPr>
            <w:tcW w:w="1460" w:type="dxa"/>
            <w:tcBorders>
              <w:top w:val="nil"/>
              <w:left w:val="nil"/>
              <w:bottom w:val="single" w:color="000000" w:sz="4" w:space="0"/>
              <w:right w:val="nil"/>
            </w:tcBorders>
            <w:shd w:val="clear" w:color="auto" w:fill="auto"/>
            <w:noWrap/>
            <w:tcMar>
              <w:top w:w="12" w:type="dxa"/>
              <w:left w:w="12" w:type="dxa"/>
              <w:right w:w="12" w:type="dxa"/>
            </w:tcMar>
            <w:vAlign w:val="center"/>
          </w:tcPr>
          <w:p w14:paraId="39E725EA">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2.41±0.97</w:t>
            </w:r>
          </w:p>
        </w:tc>
        <w:tc>
          <w:tcPr>
            <w:tcW w:w="1460" w:type="dxa"/>
            <w:tcBorders>
              <w:top w:val="nil"/>
              <w:left w:val="nil"/>
              <w:bottom w:val="single" w:color="000000" w:sz="4" w:space="0"/>
              <w:right w:val="nil"/>
            </w:tcBorders>
            <w:shd w:val="clear" w:color="auto" w:fill="auto"/>
            <w:noWrap/>
            <w:tcMar>
              <w:top w:w="12" w:type="dxa"/>
              <w:left w:w="12" w:type="dxa"/>
              <w:right w:w="12" w:type="dxa"/>
            </w:tcMar>
            <w:vAlign w:val="center"/>
          </w:tcPr>
          <w:p w14:paraId="03CD8EEF">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2.86±1.22</w:t>
            </w:r>
          </w:p>
        </w:tc>
        <w:tc>
          <w:tcPr>
            <w:tcW w:w="1462" w:type="dxa"/>
            <w:tcBorders>
              <w:top w:val="nil"/>
              <w:left w:val="nil"/>
              <w:bottom w:val="single" w:color="000000" w:sz="4" w:space="0"/>
              <w:right w:val="nil"/>
            </w:tcBorders>
            <w:shd w:val="clear" w:color="auto" w:fill="auto"/>
            <w:noWrap/>
            <w:tcMar>
              <w:top w:w="12" w:type="dxa"/>
              <w:left w:w="12" w:type="dxa"/>
              <w:right w:w="12" w:type="dxa"/>
            </w:tcMar>
            <w:vAlign w:val="center"/>
          </w:tcPr>
          <w:p w14:paraId="23648136">
            <w:pPr>
              <w:keepNext w:val="0"/>
              <w:keepLines w:val="0"/>
              <w:pageBreakBefore w:val="0"/>
              <w:widowControl/>
              <w:suppressLineNumbers w:val="0"/>
              <w:kinsoku/>
              <w:wordWrap/>
              <w:overflowPunct/>
              <w:topLinePunct w:val="0"/>
              <w:bidi w:val="0"/>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2.88±1.00</w:t>
            </w:r>
          </w:p>
        </w:tc>
      </w:tr>
    </w:tbl>
    <w:p w14:paraId="218B1F5D">
      <w:pPr>
        <w:keepNext w:val="0"/>
        <w:keepLines w:val="0"/>
        <w:pageBreakBefore w:val="0"/>
        <w:widowControl/>
        <w:kinsoku/>
        <w:wordWrap/>
        <w:overflowPunct/>
        <w:topLinePunct w:val="0"/>
        <w:autoSpaceDE/>
        <w:autoSpaceDN/>
        <w:bidi w:val="0"/>
        <w:adjustRightInd/>
        <w:snapToGrid/>
        <w:spacing w:line="300" w:lineRule="auto"/>
        <w:ind w:firstLine="360" w:firstLineChars="200"/>
        <w:jc w:val="both"/>
        <w:textAlignment w:val="auto"/>
        <w:rPr>
          <w:rFonts w:hint="default" w:ascii="Times New Roman" w:hAnsi="Times New Roman" w:cs="Times New Roman"/>
          <w:color w:val="000000" w:themeColor="text1"/>
          <w:kern w:val="0"/>
          <w:sz w:val="18"/>
          <w:szCs w:val="18"/>
          <w:lang w:val="en-US" w:eastAsia="zh-CN" w:bidi="ar"/>
          <w14:textFill>
            <w14:solidFill>
              <w14:schemeClr w14:val="tx1"/>
            </w14:solidFill>
          </w14:textFill>
        </w:rPr>
      </w:pPr>
      <w:r>
        <w:rPr>
          <w:rFonts w:hint="default" w:ascii="Times New Roman" w:hAnsi="Times New Roman" w:cs="Times New Roman"/>
          <w:color w:val="000000" w:themeColor="text1"/>
          <w:kern w:val="0"/>
          <w:sz w:val="18"/>
          <w:szCs w:val="18"/>
          <w:lang w:val="en-US" w:eastAsia="zh-CN" w:bidi="ar"/>
          <w14:textFill>
            <w14:solidFill>
              <w14:schemeClr w14:val="tx1"/>
            </w14:solidFill>
          </w14:textFill>
        </w:rPr>
        <w:t>说明：</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同列数据后标不同</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大</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写字母表示差异</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极</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显著(P &lt; 0.0</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1</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，A</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B</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，差异显著性逐渐增强</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不同小写字母表示差异显著(P &lt; 0.05)</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a→b，差异显著性逐渐增强</w:t>
      </w:r>
      <w:r>
        <w:rPr>
          <w:rFonts w:hint="default" w:ascii="Times New Roman" w:hAnsi="Times New Roman" w:cs="Times New Roman"/>
          <w:color w:val="000000" w:themeColor="text1"/>
          <w:kern w:val="0"/>
          <w:sz w:val="18"/>
          <w:szCs w:val="18"/>
          <w:lang w:eastAsia="zh-CN" w:bidi="ar"/>
          <w14:textFill>
            <w14:solidFill>
              <w14:schemeClr w14:val="tx1"/>
            </w14:solidFill>
          </w14:textFill>
        </w:rPr>
        <w:t>。</w:t>
      </w:r>
    </w:p>
    <w:p w14:paraId="00A5E599">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麻竹笋产量分析</w:t>
      </w:r>
      <w:r>
        <w:rPr>
          <w:rFonts w:hint="eastAsia" w:ascii="Times New Roman" w:hAnsi="Times New Roman"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由图2可知，麻竹出笋期竹笋产量随时间的变化呈现为</w:t>
      </w:r>
      <w:r>
        <w:rPr>
          <w:rFonts w:hint="eastAsia" w:ascii="Times New Roman" w:hAnsi="Times New Roman"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少－多－少</w:t>
      </w:r>
      <w:r>
        <w:rPr>
          <w:rFonts w:hint="eastAsia" w:ascii="Times New Roman" w:hAnsi="Times New Roman" w:cs="Times New Roman" w:eastAsiaTheme="minorEastAsia"/>
          <w:sz w:val="30"/>
          <w:szCs w:val="30"/>
          <w:lang w:val="en-US" w:eastAsia="zh-CN"/>
        </w:rPr>
        <w:t>”</w:t>
      </w:r>
      <w:r>
        <w:rPr>
          <w:rFonts w:hint="default" w:ascii="Times New Roman" w:hAnsi="Times New Roman" w:cs="Times New Roman" w:eastAsiaTheme="minorEastAsia"/>
          <w:sz w:val="30"/>
          <w:szCs w:val="30"/>
          <w:lang w:val="en-US" w:eastAsia="zh-CN"/>
        </w:rPr>
        <w:t>的趋势。麻竹从6月初开始出笋，随着时间的推移，麻竹笋产量呈缓慢增加趋势；7月麻竹笋产量迅速增大，7月中下旬达到最高值；8月开始逐渐减少；9月麻竹笋产量呈迅速下降趋势，直至完全停止。</w:t>
      </w:r>
    </w:p>
    <w:p w14:paraId="323A1D97">
      <w:pPr>
        <w:keepNext w:val="0"/>
        <w:keepLines w:val="0"/>
        <w:pageBreakBefore w:val="0"/>
        <w:kinsoku/>
        <w:wordWrap/>
        <w:overflowPunct/>
        <w:topLinePunct w:val="0"/>
        <w:autoSpaceDE/>
        <w:autoSpaceDN/>
        <w:bidi w:val="0"/>
        <w:adjustRightInd/>
        <w:snapToGrid/>
        <w:spacing w:line="300" w:lineRule="auto"/>
        <w:jc w:val="center"/>
        <w:rPr>
          <w:rFonts w:hint="default" w:ascii="Times New Roman" w:hAnsi="Times New Roman" w:eastAsia="宋体" w:cs="Times New Roman"/>
          <w:b/>
          <w:bCs/>
          <w:color w:val="000000" w:themeColor="text1"/>
          <w:sz w:val="18"/>
          <w:szCs w:val="18"/>
          <w14:textFill>
            <w14:solidFill>
              <w14:schemeClr w14:val="tx1"/>
            </w14:solidFill>
          </w14:textFill>
        </w:rPr>
      </w:pPr>
      <w:r>
        <w:rPr>
          <w:rFonts w:hint="default" w:ascii="Times New Roman" w:hAnsi="Times New Roman" w:cs="Times New Roman"/>
        </w:rPr>
        <w:drawing>
          <wp:inline distT="0" distB="0" distL="114300" distR="114300">
            <wp:extent cx="4812030" cy="2094230"/>
            <wp:effectExtent l="0" t="0" r="1270" b="127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545591A">
      <w:pPr>
        <w:keepNext w:val="0"/>
        <w:keepLines w:val="0"/>
        <w:pageBreakBefore w:val="0"/>
        <w:kinsoku/>
        <w:wordWrap/>
        <w:overflowPunct/>
        <w:topLinePunct w:val="0"/>
        <w:bidi w:val="0"/>
        <w:spacing w:line="300" w:lineRule="auto"/>
        <w:ind w:firstLine="562" w:firstLineChars="200"/>
        <w:jc w:val="center"/>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图2不同观测日期竹笋产量（㎏.亩</w:t>
      </w:r>
      <w:r>
        <w:rPr>
          <w:rFonts w:hint="default" w:ascii="Times New Roman" w:hAnsi="Times New Roman" w:cs="Times New Roman"/>
          <w:b/>
          <w:bCs/>
          <w:sz w:val="28"/>
          <w:szCs w:val="28"/>
          <w:vertAlign w:val="superscript"/>
          <w:lang w:val="en-US" w:eastAsia="zh-CN"/>
        </w:rPr>
        <w:t>-1</w:t>
      </w:r>
      <w:r>
        <w:rPr>
          <w:rFonts w:hint="default" w:ascii="Times New Roman" w:hAnsi="Times New Roman" w:cs="Times New Roman"/>
          <w:b/>
          <w:bCs/>
          <w:sz w:val="28"/>
          <w:szCs w:val="28"/>
          <w:lang w:val="en-US" w:eastAsia="zh-CN"/>
        </w:rPr>
        <w:t>)</w:t>
      </w:r>
    </w:p>
    <w:p w14:paraId="36139BAA">
      <w:pPr>
        <w:ind w:firstLine="640"/>
        <w:rPr>
          <w:rFonts w:hint="default" w:ascii="Times New Roman" w:hAnsi="Times New Roman" w:cs="Times New Roman" w:eastAsiaTheme="minorEastAsia"/>
          <w:sz w:val="30"/>
          <w:szCs w:val="30"/>
          <w:lang w:val="en-US" w:eastAsia="zh-CN"/>
        </w:rPr>
      </w:pPr>
      <w:r>
        <w:rPr>
          <w:rFonts w:hint="default" w:ascii="Times New Roman" w:hAnsi="Times New Roman" w:cs="Times New Roman" w:eastAsiaTheme="minorEastAsia"/>
          <w:sz w:val="30"/>
          <w:szCs w:val="30"/>
          <w:lang w:val="en-US" w:eastAsia="zh-CN"/>
        </w:rPr>
        <w:t>对不同月份麻竹笋产量进行方差分析，结果表明：不同月份麻竹笋产量差异极显著（p＜0.01）。对麻竹出笋期内不同月份的竹笋产量进行分析，详情见表4。由表4可知，在当年的出笋周期内，麻竹笋总产量为1</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654.07㎏.亩-1。其中6月产量最低，为107.58㎏.亩-1，仅占麻竹出笋期总产量的6</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%。7月竹笋产量最高，达796.97㎏.亩-1，其次8月为555.95㎏.亩-1。7、8月的竹笋产量均明显大于6、9月，共占总产量的82</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%。9月产量为193.56㎏.亩-1，仅占总产量的12</w:t>
      </w:r>
      <w:r>
        <w:rPr>
          <w:rFonts w:hint="eastAsia" w:ascii="Times New Roman" w:hAnsi="Times New Roman" w:cs="Times New Roman" w:eastAsiaTheme="minorEastAsia"/>
          <w:sz w:val="30"/>
          <w:szCs w:val="30"/>
          <w:lang w:val="en-US" w:eastAsia="zh-CN"/>
        </w:rPr>
        <w:t xml:space="preserve"> </w:t>
      </w:r>
      <w:r>
        <w:rPr>
          <w:rFonts w:hint="default" w:ascii="Times New Roman" w:hAnsi="Times New Roman" w:cs="Times New Roman" w:eastAsiaTheme="minorEastAsia"/>
          <w:sz w:val="30"/>
          <w:szCs w:val="30"/>
          <w:lang w:val="en-US" w:eastAsia="zh-CN"/>
        </w:rPr>
        <w:t>%。</w:t>
      </w:r>
    </w:p>
    <w:p w14:paraId="7B29AEC3">
      <w:pPr>
        <w:keepNext w:val="0"/>
        <w:keepLines w:val="0"/>
        <w:pageBreakBefore w:val="0"/>
        <w:kinsoku/>
        <w:wordWrap/>
        <w:overflowPunct/>
        <w:topLinePunct w:val="0"/>
        <w:bidi w:val="0"/>
        <w:spacing w:line="300" w:lineRule="auto"/>
        <w:ind w:firstLine="562" w:firstLineChars="200"/>
        <w:jc w:val="center"/>
        <w:rPr>
          <w:rFonts w:hint="default" w:ascii="Times New Roman" w:hAnsi="Times New Roman" w:cs="Times New Roman"/>
          <w:b/>
          <w:bCs/>
          <w:sz w:val="28"/>
          <w:szCs w:val="28"/>
          <w:lang w:val="en-US" w:eastAsia="zh-CN"/>
        </w:rPr>
      </w:pPr>
      <w:r>
        <w:rPr>
          <w:rFonts w:hint="default" w:ascii="Times New Roman" w:hAnsi="Times New Roman" w:cs="Times New Roman"/>
          <w:b/>
          <w:bCs/>
          <w:sz w:val="28"/>
          <w:szCs w:val="28"/>
          <w:lang w:val="en-US" w:eastAsia="zh-CN"/>
        </w:rPr>
        <w:t>表4 各样地不同月份麻竹笋产量（㎏.亩-1)</w:t>
      </w:r>
    </w:p>
    <w:tbl>
      <w:tblPr>
        <w:tblStyle w:val="8"/>
        <w:tblW w:w="8379" w:type="dxa"/>
        <w:tblInd w:w="0" w:type="dxa"/>
        <w:shd w:val="clear" w:color="auto" w:fill="auto"/>
        <w:tblLayout w:type="fixed"/>
        <w:tblCellMar>
          <w:top w:w="0" w:type="dxa"/>
          <w:left w:w="0" w:type="dxa"/>
          <w:bottom w:w="0" w:type="dxa"/>
          <w:right w:w="0" w:type="dxa"/>
        </w:tblCellMar>
      </w:tblPr>
      <w:tblGrid>
        <w:gridCol w:w="513"/>
        <w:gridCol w:w="756"/>
        <w:gridCol w:w="729"/>
        <w:gridCol w:w="685"/>
        <w:gridCol w:w="702"/>
        <w:gridCol w:w="738"/>
        <w:gridCol w:w="765"/>
        <w:gridCol w:w="729"/>
        <w:gridCol w:w="700"/>
        <w:gridCol w:w="1290"/>
        <w:gridCol w:w="772"/>
      </w:tblGrid>
      <w:tr w14:paraId="6D75098A">
        <w:tblPrEx>
          <w:tblCellMar>
            <w:top w:w="0" w:type="dxa"/>
            <w:left w:w="0" w:type="dxa"/>
            <w:bottom w:w="0" w:type="dxa"/>
            <w:right w:w="0" w:type="dxa"/>
          </w:tblCellMar>
        </w:tblPrEx>
        <w:trPr>
          <w:trHeight w:val="327" w:hRule="atLeast"/>
        </w:trPr>
        <w:tc>
          <w:tcPr>
            <w:tcW w:w="513" w:type="dxa"/>
            <w:vMerge w:val="restart"/>
            <w:tcBorders>
              <w:top w:val="single" w:color="000000" w:sz="4" w:space="0"/>
              <w:left w:val="nil"/>
              <w:bottom w:val="single" w:color="000000" w:sz="4" w:space="0"/>
              <w:right w:val="nil"/>
            </w:tcBorders>
            <w:shd w:val="clear" w:color="auto" w:fill="auto"/>
            <w:noWrap/>
            <w:tcMar>
              <w:top w:w="12" w:type="dxa"/>
              <w:left w:w="12" w:type="dxa"/>
              <w:right w:w="12" w:type="dxa"/>
            </w:tcMar>
            <w:vAlign w:val="center"/>
          </w:tcPr>
          <w:p w14:paraId="6C004B8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月份</w:t>
            </w:r>
          </w:p>
        </w:tc>
        <w:tc>
          <w:tcPr>
            <w:tcW w:w="5804" w:type="dxa"/>
            <w:gridSpan w:val="8"/>
            <w:tcBorders>
              <w:top w:val="single" w:color="000000" w:sz="4" w:space="0"/>
              <w:left w:val="nil"/>
              <w:bottom w:val="nil"/>
              <w:right w:val="nil"/>
            </w:tcBorders>
            <w:shd w:val="clear" w:color="auto" w:fill="auto"/>
            <w:noWrap/>
            <w:tcMar>
              <w:top w:w="12" w:type="dxa"/>
              <w:left w:w="12" w:type="dxa"/>
              <w:right w:w="12" w:type="dxa"/>
            </w:tcMar>
            <w:vAlign w:val="center"/>
          </w:tcPr>
          <w:p w14:paraId="34C753B3">
            <w:pPr>
              <w:keepNext w:val="0"/>
              <w:keepLines w:val="0"/>
              <w:pageBreakBefore w:val="0"/>
              <w:widowControl/>
              <w:suppressLineNumbers w:val="0"/>
              <w:kinsoku/>
              <w:wordWrap/>
              <w:overflowPunct/>
              <w:topLinePunct w:val="0"/>
              <w:autoSpaceDE/>
              <w:autoSpaceDN/>
              <w:bidi w:val="0"/>
              <w:adjustRightInd/>
              <w:snapToGrid/>
              <w:spacing w:line="300" w:lineRule="auto"/>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样地编号</w:t>
            </w:r>
          </w:p>
        </w:tc>
        <w:tc>
          <w:tcPr>
            <w:tcW w:w="1290" w:type="dxa"/>
            <w:vMerge w:val="restart"/>
            <w:tcBorders>
              <w:top w:val="single" w:color="000000" w:sz="4" w:space="0"/>
              <w:left w:val="nil"/>
              <w:right w:val="nil"/>
            </w:tcBorders>
            <w:shd w:val="clear" w:color="auto" w:fill="auto"/>
            <w:noWrap/>
            <w:tcMar>
              <w:top w:w="12" w:type="dxa"/>
              <w:left w:w="12" w:type="dxa"/>
              <w:right w:w="12" w:type="dxa"/>
            </w:tcMar>
            <w:vAlign w:val="center"/>
          </w:tcPr>
          <w:p w14:paraId="06025A5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均产量（</w:t>
            </w:r>
            <w:r>
              <w:rPr>
                <w:rFonts w:hint="default" w:ascii="Times New Roman" w:hAnsi="Times New Roman" w:cs="Times New Roman"/>
                <w:b w:val="0"/>
                <w:bCs w:val="0"/>
                <w:sz w:val="18"/>
                <w:szCs w:val="18"/>
                <w:lang w:val="en-US" w:eastAsia="zh-CN"/>
              </w:rPr>
              <w:t>㎏</w:t>
            </w:r>
            <w:r>
              <w:rPr>
                <w:rFonts w:hint="default" w:ascii="Times New Roman" w:hAnsi="Times New Roman" w:cs="Times New Roman"/>
                <w:b w:val="0"/>
                <w:bCs w:val="0"/>
                <w:sz w:val="18"/>
                <w:szCs w:val="18"/>
                <w:vertAlign w:val="superscript"/>
                <w:lang w:val="en-US" w:eastAsia="zh-CN"/>
              </w:rPr>
              <w:t>.</w:t>
            </w:r>
            <w:r>
              <w:rPr>
                <w:rFonts w:hint="default" w:ascii="Times New Roman" w:hAnsi="Times New Roman" w:cs="Times New Roman"/>
                <w:b w:val="0"/>
                <w:bCs w:val="0"/>
                <w:sz w:val="18"/>
                <w:szCs w:val="18"/>
                <w:lang w:val="en-US" w:eastAsia="zh-CN"/>
              </w:rPr>
              <w:t>亩</w:t>
            </w:r>
            <w:r>
              <w:rPr>
                <w:rFonts w:hint="default" w:ascii="Times New Roman" w:hAnsi="Times New Roman" w:cs="Times New Roman"/>
                <w:b w:val="0"/>
                <w:bCs w:val="0"/>
                <w:sz w:val="18"/>
                <w:szCs w:val="18"/>
                <w:vertAlign w:val="superscript"/>
                <w:lang w:val="en-US" w:eastAsia="zh-CN"/>
              </w:rPr>
              <w:t>-1</w:t>
            </w:r>
            <w:r>
              <w:rPr>
                <w:rFonts w:hint="default" w:ascii="Times New Roman" w:hAnsi="Times New Roman" w:eastAsia="宋体" w:cs="Times New Roman"/>
                <w:i w:val="0"/>
                <w:color w:val="auto"/>
                <w:kern w:val="0"/>
                <w:sz w:val="18"/>
                <w:szCs w:val="18"/>
                <w:u w:val="none"/>
                <w:lang w:val="en-US" w:eastAsia="zh-CN" w:bidi="ar"/>
              </w:rPr>
              <w:t>)</w:t>
            </w:r>
          </w:p>
        </w:tc>
        <w:tc>
          <w:tcPr>
            <w:tcW w:w="772" w:type="dxa"/>
            <w:vMerge w:val="restart"/>
            <w:tcBorders>
              <w:top w:val="single" w:color="000000" w:sz="4" w:space="0"/>
              <w:left w:val="nil"/>
              <w:right w:val="nil"/>
            </w:tcBorders>
            <w:shd w:val="clear" w:color="auto" w:fill="auto"/>
            <w:noWrap/>
            <w:tcMar>
              <w:top w:w="12" w:type="dxa"/>
              <w:left w:w="12" w:type="dxa"/>
              <w:right w:w="12" w:type="dxa"/>
            </w:tcMar>
            <w:vAlign w:val="center"/>
          </w:tcPr>
          <w:p w14:paraId="176B1AAF">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kern w:val="0"/>
                <w:sz w:val="18"/>
                <w:szCs w:val="18"/>
                <w:u w:val="none"/>
                <w:lang w:val="en-US" w:eastAsia="zh-CN" w:bidi="ar"/>
              </w:rPr>
            </w:pPr>
            <w:r>
              <w:rPr>
                <w:rFonts w:hint="default" w:ascii="Times New Roman" w:hAnsi="Times New Roman" w:eastAsia="宋体" w:cs="Times New Roman"/>
                <w:i w:val="0"/>
                <w:color w:val="auto"/>
                <w:kern w:val="0"/>
                <w:sz w:val="18"/>
                <w:szCs w:val="18"/>
                <w:u w:val="none"/>
                <w:lang w:val="en-US" w:eastAsia="zh-CN" w:bidi="ar"/>
              </w:rPr>
              <w:t>百分比（%）</w:t>
            </w:r>
          </w:p>
        </w:tc>
      </w:tr>
      <w:tr w14:paraId="295CEC50">
        <w:tblPrEx>
          <w:shd w:val="clear" w:color="auto" w:fill="auto"/>
          <w:tblCellMar>
            <w:top w:w="0" w:type="dxa"/>
            <w:left w:w="0" w:type="dxa"/>
            <w:bottom w:w="0" w:type="dxa"/>
            <w:right w:w="0" w:type="dxa"/>
          </w:tblCellMar>
        </w:tblPrEx>
        <w:trPr>
          <w:trHeight w:val="297" w:hRule="atLeast"/>
        </w:trPr>
        <w:tc>
          <w:tcPr>
            <w:tcW w:w="513" w:type="dxa"/>
            <w:vMerge w:val="continue"/>
            <w:tcBorders>
              <w:top w:val="single" w:color="000000" w:sz="4" w:space="0"/>
              <w:left w:val="nil"/>
              <w:bottom w:val="single" w:color="000000" w:sz="4" w:space="0"/>
              <w:right w:val="nil"/>
            </w:tcBorders>
            <w:shd w:val="clear" w:color="auto" w:fill="auto"/>
            <w:noWrap/>
            <w:tcMar>
              <w:top w:w="12" w:type="dxa"/>
              <w:left w:w="12" w:type="dxa"/>
              <w:right w:w="12" w:type="dxa"/>
            </w:tcMar>
            <w:vAlign w:val="center"/>
          </w:tcPr>
          <w:p w14:paraId="72F7D4EE">
            <w:pPr>
              <w:keepNext w:val="0"/>
              <w:keepLines w:val="0"/>
              <w:pageBreakBefore w:val="0"/>
              <w:kinsoku/>
              <w:wordWrap/>
              <w:overflowPunct/>
              <w:topLinePunct w:val="0"/>
              <w:autoSpaceDE/>
              <w:autoSpaceDN/>
              <w:bidi w:val="0"/>
              <w:adjustRightInd/>
              <w:snapToGrid/>
              <w:spacing w:line="300" w:lineRule="auto"/>
              <w:jc w:val="center"/>
              <w:rPr>
                <w:rFonts w:hint="default" w:ascii="Times New Roman" w:hAnsi="Times New Roman" w:eastAsia="宋体" w:cs="Times New Roman"/>
                <w:i w:val="0"/>
                <w:color w:val="auto"/>
                <w:sz w:val="18"/>
                <w:szCs w:val="18"/>
                <w:u w:val="none"/>
              </w:rPr>
            </w:pPr>
          </w:p>
        </w:tc>
        <w:tc>
          <w:tcPr>
            <w:tcW w:w="756" w:type="dxa"/>
            <w:tcBorders>
              <w:top w:val="nil"/>
              <w:left w:val="nil"/>
              <w:bottom w:val="single" w:color="000000" w:sz="4" w:space="0"/>
              <w:right w:val="nil"/>
            </w:tcBorders>
            <w:shd w:val="clear" w:color="auto" w:fill="auto"/>
            <w:noWrap/>
            <w:tcMar>
              <w:top w:w="12" w:type="dxa"/>
              <w:left w:w="12" w:type="dxa"/>
              <w:right w:w="12" w:type="dxa"/>
            </w:tcMar>
            <w:vAlign w:val="center"/>
          </w:tcPr>
          <w:p w14:paraId="771694D6">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w:t>
            </w:r>
            <w:r>
              <w:rPr>
                <w:rStyle w:val="55"/>
                <w:rFonts w:hint="default" w:ascii="Times New Roman" w:hAnsi="Times New Roman" w:cs="Times New Roman"/>
                <w:color w:val="auto"/>
                <w:sz w:val="18"/>
                <w:szCs w:val="18"/>
                <w:lang w:val="en-US" w:eastAsia="zh-CN" w:bidi="ar"/>
              </w:rPr>
              <w:t>号</w:t>
            </w:r>
          </w:p>
        </w:tc>
        <w:tc>
          <w:tcPr>
            <w:tcW w:w="729" w:type="dxa"/>
            <w:tcBorders>
              <w:top w:val="nil"/>
              <w:left w:val="nil"/>
              <w:bottom w:val="single" w:color="000000" w:sz="4" w:space="0"/>
              <w:right w:val="nil"/>
            </w:tcBorders>
            <w:shd w:val="clear" w:color="auto" w:fill="auto"/>
            <w:noWrap/>
            <w:tcMar>
              <w:top w:w="12" w:type="dxa"/>
              <w:left w:w="12" w:type="dxa"/>
              <w:right w:w="12" w:type="dxa"/>
            </w:tcMar>
            <w:vAlign w:val="center"/>
          </w:tcPr>
          <w:p w14:paraId="5454F6D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2号</w:t>
            </w:r>
          </w:p>
        </w:tc>
        <w:tc>
          <w:tcPr>
            <w:tcW w:w="685" w:type="dxa"/>
            <w:tcBorders>
              <w:top w:val="nil"/>
              <w:left w:val="nil"/>
              <w:bottom w:val="single" w:color="000000" w:sz="4" w:space="0"/>
              <w:right w:val="nil"/>
            </w:tcBorders>
            <w:shd w:val="clear" w:color="auto" w:fill="auto"/>
            <w:noWrap/>
            <w:tcMar>
              <w:top w:w="12" w:type="dxa"/>
              <w:left w:w="12" w:type="dxa"/>
              <w:right w:w="12" w:type="dxa"/>
            </w:tcMar>
            <w:vAlign w:val="center"/>
          </w:tcPr>
          <w:p w14:paraId="12966F52">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w:t>
            </w:r>
            <w:r>
              <w:rPr>
                <w:rStyle w:val="55"/>
                <w:rFonts w:hint="default" w:ascii="Times New Roman" w:hAnsi="Times New Roman" w:cs="Times New Roman"/>
                <w:color w:val="auto"/>
                <w:sz w:val="18"/>
                <w:szCs w:val="18"/>
                <w:lang w:val="en-US" w:eastAsia="zh-CN" w:bidi="ar"/>
              </w:rPr>
              <w:t>号</w:t>
            </w:r>
          </w:p>
        </w:tc>
        <w:tc>
          <w:tcPr>
            <w:tcW w:w="702" w:type="dxa"/>
            <w:tcBorders>
              <w:top w:val="nil"/>
              <w:left w:val="nil"/>
              <w:bottom w:val="single" w:color="000000" w:sz="4" w:space="0"/>
              <w:right w:val="nil"/>
            </w:tcBorders>
            <w:shd w:val="clear" w:color="auto" w:fill="auto"/>
            <w:noWrap/>
            <w:tcMar>
              <w:top w:w="12" w:type="dxa"/>
              <w:left w:w="12" w:type="dxa"/>
              <w:right w:w="12" w:type="dxa"/>
            </w:tcMar>
            <w:vAlign w:val="center"/>
          </w:tcPr>
          <w:p w14:paraId="3151224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w:t>
            </w:r>
            <w:r>
              <w:rPr>
                <w:rStyle w:val="55"/>
                <w:rFonts w:hint="default" w:ascii="Times New Roman" w:hAnsi="Times New Roman" w:cs="Times New Roman"/>
                <w:color w:val="auto"/>
                <w:sz w:val="18"/>
                <w:szCs w:val="18"/>
                <w:lang w:val="en-US" w:eastAsia="zh-CN" w:bidi="ar"/>
              </w:rPr>
              <w:t>号</w:t>
            </w:r>
          </w:p>
        </w:tc>
        <w:tc>
          <w:tcPr>
            <w:tcW w:w="738" w:type="dxa"/>
            <w:tcBorders>
              <w:top w:val="nil"/>
              <w:left w:val="nil"/>
              <w:bottom w:val="single" w:color="000000" w:sz="4" w:space="0"/>
              <w:right w:val="nil"/>
            </w:tcBorders>
            <w:shd w:val="clear" w:color="auto" w:fill="auto"/>
            <w:noWrap/>
            <w:tcMar>
              <w:top w:w="12" w:type="dxa"/>
              <w:left w:w="12" w:type="dxa"/>
              <w:right w:w="12" w:type="dxa"/>
            </w:tcMar>
            <w:vAlign w:val="center"/>
          </w:tcPr>
          <w:p w14:paraId="6DA9996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w:t>
            </w:r>
            <w:r>
              <w:rPr>
                <w:rStyle w:val="55"/>
                <w:rFonts w:hint="default" w:ascii="Times New Roman" w:hAnsi="Times New Roman" w:cs="Times New Roman"/>
                <w:color w:val="auto"/>
                <w:sz w:val="18"/>
                <w:szCs w:val="18"/>
                <w:lang w:val="en-US" w:eastAsia="zh-CN" w:bidi="ar"/>
              </w:rPr>
              <w:t>号</w:t>
            </w:r>
          </w:p>
        </w:tc>
        <w:tc>
          <w:tcPr>
            <w:tcW w:w="765" w:type="dxa"/>
            <w:tcBorders>
              <w:top w:val="nil"/>
              <w:left w:val="nil"/>
              <w:bottom w:val="single" w:color="000000" w:sz="4" w:space="0"/>
              <w:right w:val="nil"/>
            </w:tcBorders>
            <w:shd w:val="clear" w:color="auto" w:fill="auto"/>
            <w:noWrap/>
            <w:tcMar>
              <w:top w:w="12" w:type="dxa"/>
              <w:left w:w="12" w:type="dxa"/>
              <w:right w:w="12" w:type="dxa"/>
            </w:tcMar>
            <w:vAlign w:val="center"/>
          </w:tcPr>
          <w:p w14:paraId="6D1ABDD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w:t>
            </w:r>
            <w:r>
              <w:rPr>
                <w:rStyle w:val="55"/>
                <w:rFonts w:hint="default" w:ascii="Times New Roman" w:hAnsi="Times New Roman" w:cs="Times New Roman"/>
                <w:color w:val="auto"/>
                <w:sz w:val="18"/>
                <w:szCs w:val="18"/>
                <w:lang w:val="en-US" w:eastAsia="zh-CN" w:bidi="ar"/>
              </w:rPr>
              <w:t>号</w:t>
            </w:r>
          </w:p>
        </w:tc>
        <w:tc>
          <w:tcPr>
            <w:tcW w:w="729" w:type="dxa"/>
            <w:tcBorders>
              <w:top w:val="nil"/>
              <w:left w:val="nil"/>
              <w:bottom w:val="single" w:color="000000" w:sz="4" w:space="0"/>
              <w:right w:val="nil"/>
            </w:tcBorders>
            <w:shd w:val="clear" w:color="auto" w:fill="auto"/>
            <w:noWrap/>
            <w:tcMar>
              <w:top w:w="12" w:type="dxa"/>
              <w:left w:w="12" w:type="dxa"/>
              <w:right w:w="12" w:type="dxa"/>
            </w:tcMar>
            <w:vAlign w:val="center"/>
          </w:tcPr>
          <w:p w14:paraId="7D330310">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w:t>
            </w:r>
            <w:r>
              <w:rPr>
                <w:rStyle w:val="55"/>
                <w:rFonts w:hint="default" w:ascii="Times New Roman" w:hAnsi="Times New Roman" w:cs="Times New Roman"/>
                <w:color w:val="auto"/>
                <w:sz w:val="18"/>
                <w:szCs w:val="18"/>
                <w:lang w:val="en-US" w:eastAsia="zh-CN" w:bidi="ar"/>
              </w:rPr>
              <w:t>号</w:t>
            </w:r>
          </w:p>
        </w:tc>
        <w:tc>
          <w:tcPr>
            <w:tcW w:w="700" w:type="dxa"/>
            <w:tcBorders>
              <w:top w:val="nil"/>
              <w:left w:val="nil"/>
              <w:bottom w:val="single" w:color="000000" w:sz="4" w:space="0"/>
              <w:right w:val="nil"/>
            </w:tcBorders>
            <w:shd w:val="clear" w:color="auto" w:fill="auto"/>
            <w:noWrap/>
            <w:tcMar>
              <w:top w:w="12" w:type="dxa"/>
              <w:left w:w="12" w:type="dxa"/>
              <w:right w:w="12" w:type="dxa"/>
            </w:tcMar>
            <w:vAlign w:val="center"/>
          </w:tcPr>
          <w:p w14:paraId="308A5B4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w:t>
            </w:r>
            <w:r>
              <w:rPr>
                <w:rStyle w:val="55"/>
                <w:rFonts w:hint="default" w:ascii="Times New Roman" w:hAnsi="Times New Roman" w:cs="Times New Roman"/>
                <w:color w:val="auto"/>
                <w:sz w:val="18"/>
                <w:szCs w:val="18"/>
                <w:lang w:val="en-US" w:eastAsia="zh-CN" w:bidi="ar"/>
              </w:rPr>
              <w:t>号</w:t>
            </w:r>
          </w:p>
        </w:tc>
        <w:tc>
          <w:tcPr>
            <w:tcW w:w="1290" w:type="dxa"/>
            <w:vMerge w:val="continue"/>
            <w:tcBorders>
              <w:left w:val="nil"/>
              <w:bottom w:val="single" w:color="000000" w:sz="4" w:space="0"/>
              <w:right w:val="nil"/>
            </w:tcBorders>
            <w:shd w:val="clear" w:color="auto" w:fill="auto"/>
            <w:noWrap/>
            <w:tcMar>
              <w:top w:w="12" w:type="dxa"/>
              <w:left w:w="12" w:type="dxa"/>
              <w:right w:w="12" w:type="dxa"/>
            </w:tcMar>
            <w:vAlign w:val="center"/>
          </w:tcPr>
          <w:p w14:paraId="6D207ED5">
            <w:pPr>
              <w:keepNext w:val="0"/>
              <w:keepLines w:val="0"/>
              <w:pageBreakBefore w:val="0"/>
              <w:widowControl/>
              <w:suppressLineNumbers w:val="0"/>
              <w:kinsoku/>
              <w:wordWrap/>
              <w:overflowPunct/>
              <w:topLinePunct w:val="0"/>
              <w:autoSpaceDE/>
              <w:autoSpaceDN/>
              <w:bidi w:val="0"/>
              <w:adjustRightInd/>
              <w:snapToGrid/>
              <w:spacing w:line="300" w:lineRule="auto"/>
              <w:jc w:val="center"/>
              <w:textAlignment w:val="center"/>
              <w:rPr>
                <w:rFonts w:hint="default" w:ascii="Times New Roman" w:hAnsi="Times New Roman" w:eastAsia="宋体" w:cs="Times New Roman"/>
                <w:i w:val="0"/>
                <w:color w:val="auto"/>
                <w:sz w:val="18"/>
                <w:szCs w:val="18"/>
                <w:u w:val="none"/>
              </w:rPr>
            </w:pPr>
          </w:p>
        </w:tc>
        <w:tc>
          <w:tcPr>
            <w:tcW w:w="772" w:type="dxa"/>
            <w:vMerge w:val="continue"/>
            <w:tcBorders>
              <w:left w:val="nil"/>
              <w:bottom w:val="single" w:color="000000" w:sz="4" w:space="0"/>
              <w:right w:val="nil"/>
            </w:tcBorders>
            <w:shd w:val="clear" w:color="auto" w:fill="auto"/>
            <w:noWrap/>
            <w:tcMar>
              <w:top w:w="12" w:type="dxa"/>
              <w:left w:w="12" w:type="dxa"/>
              <w:right w:w="12" w:type="dxa"/>
            </w:tcMar>
            <w:vAlign w:val="center"/>
          </w:tcPr>
          <w:p w14:paraId="3BBB5754">
            <w:pPr>
              <w:keepNext w:val="0"/>
              <w:keepLines w:val="0"/>
              <w:pageBreakBefore w:val="0"/>
              <w:widowControl/>
              <w:suppressLineNumbers w:val="0"/>
              <w:kinsoku/>
              <w:wordWrap/>
              <w:overflowPunct/>
              <w:topLinePunct w:val="0"/>
              <w:autoSpaceDE/>
              <w:autoSpaceDN/>
              <w:bidi w:val="0"/>
              <w:adjustRightInd/>
              <w:snapToGrid/>
              <w:spacing w:line="300" w:lineRule="auto"/>
              <w:jc w:val="center"/>
              <w:textAlignment w:val="center"/>
              <w:rPr>
                <w:rFonts w:hint="default" w:ascii="Times New Roman" w:hAnsi="Times New Roman" w:eastAsia="宋体" w:cs="Times New Roman"/>
                <w:i w:val="0"/>
                <w:color w:val="auto"/>
                <w:sz w:val="18"/>
                <w:szCs w:val="18"/>
                <w:u w:val="none"/>
              </w:rPr>
            </w:pPr>
          </w:p>
        </w:tc>
      </w:tr>
      <w:tr w14:paraId="6C3185E8">
        <w:tblPrEx>
          <w:shd w:val="clear" w:color="auto" w:fill="auto"/>
          <w:tblCellMar>
            <w:top w:w="0" w:type="dxa"/>
            <w:left w:w="0" w:type="dxa"/>
            <w:bottom w:w="0" w:type="dxa"/>
            <w:right w:w="0" w:type="dxa"/>
          </w:tblCellMar>
        </w:tblPrEx>
        <w:trPr>
          <w:trHeight w:val="177" w:hRule="atLeast"/>
        </w:trPr>
        <w:tc>
          <w:tcPr>
            <w:tcW w:w="513" w:type="dxa"/>
            <w:tcBorders>
              <w:top w:val="nil"/>
              <w:left w:val="nil"/>
              <w:bottom w:val="nil"/>
              <w:right w:val="nil"/>
            </w:tcBorders>
            <w:shd w:val="clear" w:color="auto" w:fill="auto"/>
            <w:noWrap/>
            <w:tcMar>
              <w:top w:w="12" w:type="dxa"/>
              <w:left w:w="12" w:type="dxa"/>
              <w:right w:w="12" w:type="dxa"/>
            </w:tcMar>
            <w:vAlign w:val="center"/>
          </w:tcPr>
          <w:p w14:paraId="73D1D47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w:t>
            </w:r>
          </w:p>
        </w:tc>
        <w:tc>
          <w:tcPr>
            <w:tcW w:w="756" w:type="dxa"/>
            <w:tcBorders>
              <w:top w:val="nil"/>
              <w:left w:val="nil"/>
              <w:bottom w:val="nil"/>
              <w:right w:val="nil"/>
            </w:tcBorders>
            <w:shd w:val="clear" w:color="auto" w:fill="auto"/>
            <w:noWrap/>
            <w:tcMar>
              <w:top w:w="12" w:type="dxa"/>
              <w:left w:w="12" w:type="dxa"/>
              <w:right w:w="12" w:type="dxa"/>
            </w:tcMar>
            <w:vAlign w:val="center"/>
          </w:tcPr>
          <w:p w14:paraId="48461D8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288.46</w:t>
            </w:r>
          </w:p>
        </w:tc>
        <w:tc>
          <w:tcPr>
            <w:tcW w:w="729" w:type="dxa"/>
            <w:tcBorders>
              <w:top w:val="nil"/>
              <w:left w:val="nil"/>
              <w:bottom w:val="nil"/>
              <w:right w:val="nil"/>
            </w:tcBorders>
            <w:shd w:val="clear" w:color="auto" w:fill="auto"/>
            <w:noWrap/>
            <w:tcMar>
              <w:top w:w="12" w:type="dxa"/>
              <w:left w:w="12" w:type="dxa"/>
              <w:right w:w="12" w:type="dxa"/>
            </w:tcMar>
            <w:vAlign w:val="center"/>
          </w:tcPr>
          <w:p w14:paraId="5E0C63E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155.03</w:t>
            </w:r>
          </w:p>
        </w:tc>
        <w:tc>
          <w:tcPr>
            <w:tcW w:w="685" w:type="dxa"/>
            <w:tcBorders>
              <w:top w:val="nil"/>
              <w:left w:val="nil"/>
              <w:bottom w:val="nil"/>
              <w:right w:val="nil"/>
            </w:tcBorders>
            <w:shd w:val="clear" w:color="auto" w:fill="auto"/>
            <w:noWrap/>
            <w:tcMar>
              <w:top w:w="12" w:type="dxa"/>
              <w:left w:w="12" w:type="dxa"/>
              <w:right w:w="12" w:type="dxa"/>
            </w:tcMar>
            <w:vAlign w:val="center"/>
          </w:tcPr>
          <w:p w14:paraId="240FC526">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123.83</w:t>
            </w:r>
          </w:p>
        </w:tc>
        <w:tc>
          <w:tcPr>
            <w:tcW w:w="702" w:type="dxa"/>
            <w:tcBorders>
              <w:top w:val="nil"/>
              <w:left w:val="nil"/>
              <w:bottom w:val="nil"/>
              <w:right w:val="nil"/>
            </w:tcBorders>
            <w:shd w:val="clear" w:color="auto" w:fill="auto"/>
            <w:noWrap/>
            <w:tcMar>
              <w:top w:w="12" w:type="dxa"/>
              <w:left w:w="12" w:type="dxa"/>
              <w:right w:w="12" w:type="dxa"/>
            </w:tcMar>
            <w:vAlign w:val="center"/>
          </w:tcPr>
          <w:p w14:paraId="48CCB2C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21.01</w:t>
            </w:r>
          </w:p>
        </w:tc>
        <w:tc>
          <w:tcPr>
            <w:tcW w:w="738" w:type="dxa"/>
            <w:tcBorders>
              <w:top w:val="nil"/>
              <w:left w:val="nil"/>
              <w:bottom w:val="nil"/>
              <w:right w:val="nil"/>
            </w:tcBorders>
            <w:shd w:val="clear" w:color="auto" w:fill="auto"/>
            <w:noWrap/>
            <w:tcMar>
              <w:top w:w="12" w:type="dxa"/>
              <w:left w:w="12" w:type="dxa"/>
              <w:right w:w="12" w:type="dxa"/>
            </w:tcMar>
            <w:vAlign w:val="center"/>
          </w:tcPr>
          <w:p w14:paraId="4ED06E23">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29.10</w:t>
            </w:r>
          </w:p>
        </w:tc>
        <w:tc>
          <w:tcPr>
            <w:tcW w:w="765" w:type="dxa"/>
            <w:tcBorders>
              <w:top w:val="nil"/>
              <w:left w:val="nil"/>
              <w:bottom w:val="nil"/>
              <w:right w:val="nil"/>
            </w:tcBorders>
            <w:shd w:val="clear" w:color="auto" w:fill="auto"/>
            <w:noWrap/>
            <w:tcMar>
              <w:top w:w="12" w:type="dxa"/>
              <w:left w:w="12" w:type="dxa"/>
              <w:right w:w="12" w:type="dxa"/>
            </w:tcMar>
            <w:vAlign w:val="center"/>
          </w:tcPr>
          <w:p w14:paraId="3697499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66.60</w:t>
            </w:r>
          </w:p>
        </w:tc>
        <w:tc>
          <w:tcPr>
            <w:tcW w:w="729" w:type="dxa"/>
            <w:tcBorders>
              <w:top w:val="nil"/>
              <w:left w:val="nil"/>
              <w:bottom w:val="nil"/>
              <w:right w:val="nil"/>
            </w:tcBorders>
            <w:shd w:val="clear" w:color="auto" w:fill="auto"/>
            <w:noWrap/>
            <w:tcMar>
              <w:top w:w="12" w:type="dxa"/>
              <w:left w:w="12" w:type="dxa"/>
              <w:right w:w="12" w:type="dxa"/>
            </w:tcMar>
            <w:vAlign w:val="center"/>
          </w:tcPr>
          <w:p w14:paraId="2E391D2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97.98</w:t>
            </w:r>
          </w:p>
        </w:tc>
        <w:tc>
          <w:tcPr>
            <w:tcW w:w="700" w:type="dxa"/>
            <w:tcBorders>
              <w:top w:val="nil"/>
              <w:left w:val="nil"/>
              <w:bottom w:val="nil"/>
              <w:right w:val="nil"/>
            </w:tcBorders>
            <w:shd w:val="clear" w:color="auto" w:fill="auto"/>
            <w:noWrap/>
            <w:tcMar>
              <w:top w:w="12" w:type="dxa"/>
              <w:left w:w="12" w:type="dxa"/>
              <w:right w:w="12" w:type="dxa"/>
            </w:tcMar>
            <w:vAlign w:val="center"/>
          </w:tcPr>
          <w:p w14:paraId="7CA23426">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78.66</w:t>
            </w:r>
          </w:p>
        </w:tc>
        <w:tc>
          <w:tcPr>
            <w:tcW w:w="1290" w:type="dxa"/>
            <w:tcBorders>
              <w:top w:val="nil"/>
              <w:left w:val="nil"/>
              <w:bottom w:val="nil"/>
              <w:right w:val="nil"/>
            </w:tcBorders>
            <w:shd w:val="clear" w:color="auto" w:fill="auto"/>
            <w:noWrap/>
            <w:tcMar>
              <w:top w:w="12" w:type="dxa"/>
              <w:left w:w="12" w:type="dxa"/>
              <w:right w:w="12" w:type="dxa"/>
            </w:tcMar>
            <w:vAlign w:val="center"/>
          </w:tcPr>
          <w:p w14:paraId="1C879B0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107.58±85.77 </w:t>
            </w:r>
            <w:r>
              <w:rPr>
                <w:rFonts w:hint="default" w:ascii="Times New Roman" w:hAnsi="Times New Roman" w:cs="Times New Roman"/>
                <w:i w:val="0"/>
                <w:color w:val="auto"/>
                <w:kern w:val="0"/>
                <w:sz w:val="18"/>
                <w:szCs w:val="18"/>
                <w:u w:val="none"/>
                <w:lang w:val="en-US" w:eastAsia="zh-CN" w:bidi="ar"/>
              </w:rPr>
              <w:t>C</w:t>
            </w:r>
          </w:p>
        </w:tc>
        <w:tc>
          <w:tcPr>
            <w:tcW w:w="772" w:type="dxa"/>
            <w:tcBorders>
              <w:top w:val="nil"/>
              <w:left w:val="nil"/>
              <w:bottom w:val="nil"/>
              <w:right w:val="nil"/>
            </w:tcBorders>
            <w:shd w:val="clear" w:color="auto" w:fill="auto"/>
            <w:noWrap/>
            <w:tcMar>
              <w:top w:w="12" w:type="dxa"/>
              <w:left w:w="12" w:type="dxa"/>
              <w:right w:w="12" w:type="dxa"/>
            </w:tcMar>
            <w:vAlign w:val="center"/>
          </w:tcPr>
          <w:p w14:paraId="2322AF4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kern w:val="0"/>
                <w:sz w:val="18"/>
                <w:szCs w:val="18"/>
                <w:u w:val="none"/>
                <w:lang w:val="en-US" w:eastAsia="zh-CN" w:bidi="ar"/>
              </w:rPr>
            </w:pPr>
            <w:r>
              <w:rPr>
                <w:rFonts w:hint="default" w:ascii="Times New Roman" w:hAnsi="Times New Roman" w:cs="Times New Roman"/>
                <w:i w:val="0"/>
                <w:color w:val="auto"/>
                <w:kern w:val="0"/>
                <w:sz w:val="18"/>
                <w:szCs w:val="18"/>
                <w:u w:val="none"/>
                <w:lang w:val="en-US" w:eastAsia="zh-CN" w:bidi="ar"/>
              </w:rPr>
              <w:t>6</w:t>
            </w:r>
          </w:p>
        </w:tc>
      </w:tr>
      <w:tr w14:paraId="6FF23902">
        <w:tblPrEx>
          <w:shd w:val="clear" w:color="auto" w:fill="auto"/>
          <w:tblCellMar>
            <w:top w:w="0" w:type="dxa"/>
            <w:left w:w="0" w:type="dxa"/>
            <w:bottom w:w="0" w:type="dxa"/>
            <w:right w:w="0" w:type="dxa"/>
          </w:tblCellMar>
        </w:tblPrEx>
        <w:trPr>
          <w:trHeight w:val="283" w:hRule="atLeast"/>
        </w:trPr>
        <w:tc>
          <w:tcPr>
            <w:tcW w:w="513" w:type="dxa"/>
            <w:tcBorders>
              <w:top w:val="nil"/>
              <w:left w:val="nil"/>
              <w:bottom w:val="nil"/>
              <w:right w:val="nil"/>
            </w:tcBorders>
            <w:shd w:val="clear" w:color="auto" w:fill="auto"/>
            <w:noWrap/>
            <w:tcMar>
              <w:top w:w="12" w:type="dxa"/>
              <w:left w:w="12" w:type="dxa"/>
              <w:right w:w="12" w:type="dxa"/>
            </w:tcMar>
            <w:vAlign w:val="center"/>
          </w:tcPr>
          <w:p w14:paraId="64D73CE3">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w:t>
            </w:r>
          </w:p>
        </w:tc>
        <w:tc>
          <w:tcPr>
            <w:tcW w:w="756" w:type="dxa"/>
            <w:tcBorders>
              <w:top w:val="nil"/>
              <w:left w:val="nil"/>
              <w:bottom w:val="nil"/>
              <w:right w:val="nil"/>
            </w:tcBorders>
            <w:shd w:val="clear" w:color="auto" w:fill="auto"/>
            <w:noWrap/>
            <w:tcMar>
              <w:top w:w="12" w:type="dxa"/>
              <w:left w:w="12" w:type="dxa"/>
              <w:right w:w="12" w:type="dxa"/>
            </w:tcMar>
            <w:vAlign w:val="center"/>
          </w:tcPr>
          <w:p w14:paraId="5B53C0C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890.03</w:t>
            </w:r>
          </w:p>
        </w:tc>
        <w:tc>
          <w:tcPr>
            <w:tcW w:w="729" w:type="dxa"/>
            <w:tcBorders>
              <w:top w:val="nil"/>
              <w:left w:val="nil"/>
              <w:bottom w:val="nil"/>
              <w:right w:val="nil"/>
            </w:tcBorders>
            <w:shd w:val="clear" w:color="auto" w:fill="auto"/>
            <w:noWrap/>
            <w:tcMar>
              <w:top w:w="12" w:type="dxa"/>
              <w:left w:w="12" w:type="dxa"/>
              <w:right w:w="12" w:type="dxa"/>
            </w:tcMar>
            <w:vAlign w:val="center"/>
          </w:tcPr>
          <w:p w14:paraId="41F5D086">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696.18</w:t>
            </w:r>
          </w:p>
        </w:tc>
        <w:tc>
          <w:tcPr>
            <w:tcW w:w="685" w:type="dxa"/>
            <w:tcBorders>
              <w:top w:val="nil"/>
              <w:left w:val="nil"/>
              <w:bottom w:val="nil"/>
              <w:right w:val="nil"/>
            </w:tcBorders>
            <w:shd w:val="clear" w:color="auto" w:fill="auto"/>
            <w:noWrap/>
            <w:tcMar>
              <w:top w:w="12" w:type="dxa"/>
              <w:left w:w="12" w:type="dxa"/>
              <w:right w:w="12" w:type="dxa"/>
            </w:tcMar>
            <w:vAlign w:val="center"/>
          </w:tcPr>
          <w:p w14:paraId="0860525C">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747.19</w:t>
            </w:r>
          </w:p>
        </w:tc>
        <w:tc>
          <w:tcPr>
            <w:tcW w:w="702" w:type="dxa"/>
            <w:tcBorders>
              <w:top w:val="nil"/>
              <w:left w:val="nil"/>
              <w:bottom w:val="nil"/>
              <w:right w:val="nil"/>
            </w:tcBorders>
            <w:shd w:val="clear" w:color="auto" w:fill="auto"/>
            <w:noWrap/>
            <w:tcMar>
              <w:top w:w="12" w:type="dxa"/>
              <w:left w:w="12" w:type="dxa"/>
              <w:right w:w="12" w:type="dxa"/>
            </w:tcMar>
            <w:vAlign w:val="center"/>
          </w:tcPr>
          <w:p w14:paraId="08CE72E6">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754.83</w:t>
            </w:r>
          </w:p>
        </w:tc>
        <w:tc>
          <w:tcPr>
            <w:tcW w:w="738" w:type="dxa"/>
            <w:tcBorders>
              <w:top w:val="nil"/>
              <w:left w:val="nil"/>
              <w:bottom w:val="nil"/>
              <w:right w:val="nil"/>
            </w:tcBorders>
            <w:shd w:val="clear" w:color="auto" w:fill="auto"/>
            <w:noWrap/>
            <w:tcMar>
              <w:top w:w="12" w:type="dxa"/>
              <w:left w:w="12" w:type="dxa"/>
              <w:right w:w="12" w:type="dxa"/>
            </w:tcMar>
            <w:vAlign w:val="center"/>
          </w:tcPr>
          <w:p w14:paraId="3006FFA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732.75</w:t>
            </w:r>
          </w:p>
        </w:tc>
        <w:tc>
          <w:tcPr>
            <w:tcW w:w="765" w:type="dxa"/>
            <w:tcBorders>
              <w:top w:val="nil"/>
              <w:left w:val="nil"/>
              <w:bottom w:val="nil"/>
              <w:right w:val="nil"/>
            </w:tcBorders>
            <w:shd w:val="clear" w:color="auto" w:fill="auto"/>
            <w:noWrap/>
            <w:tcMar>
              <w:top w:w="12" w:type="dxa"/>
              <w:left w:w="12" w:type="dxa"/>
              <w:right w:w="12" w:type="dxa"/>
            </w:tcMar>
            <w:vAlign w:val="center"/>
          </w:tcPr>
          <w:p w14:paraId="1F6FF44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854.64</w:t>
            </w:r>
          </w:p>
        </w:tc>
        <w:tc>
          <w:tcPr>
            <w:tcW w:w="729" w:type="dxa"/>
            <w:tcBorders>
              <w:top w:val="nil"/>
              <w:left w:val="nil"/>
              <w:bottom w:val="nil"/>
              <w:right w:val="nil"/>
            </w:tcBorders>
            <w:shd w:val="clear" w:color="auto" w:fill="auto"/>
            <w:noWrap/>
            <w:tcMar>
              <w:top w:w="12" w:type="dxa"/>
              <w:left w:w="12" w:type="dxa"/>
              <w:right w:w="12" w:type="dxa"/>
            </w:tcMar>
            <w:vAlign w:val="center"/>
          </w:tcPr>
          <w:p w14:paraId="6CC8BAF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786.29</w:t>
            </w:r>
          </w:p>
        </w:tc>
        <w:tc>
          <w:tcPr>
            <w:tcW w:w="700" w:type="dxa"/>
            <w:tcBorders>
              <w:top w:val="nil"/>
              <w:left w:val="nil"/>
              <w:bottom w:val="nil"/>
              <w:right w:val="nil"/>
            </w:tcBorders>
            <w:shd w:val="clear" w:color="auto" w:fill="auto"/>
            <w:noWrap/>
            <w:tcMar>
              <w:top w:w="12" w:type="dxa"/>
              <w:left w:w="12" w:type="dxa"/>
              <w:right w:w="12" w:type="dxa"/>
            </w:tcMar>
            <w:vAlign w:val="center"/>
          </w:tcPr>
          <w:p w14:paraId="5CC77A15">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913.87</w:t>
            </w:r>
          </w:p>
        </w:tc>
        <w:tc>
          <w:tcPr>
            <w:tcW w:w="1290" w:type="dxa"/>
            <w:tcBorders>
              <w:top w:val="nil"/>
              <w:left w:val="nil"/>
              <w:bottom w:val="nil"/>
              <w:right w:val="nil"/>
            </w:tcBorders>
            <w:shd w:val="clear" w:color="auto" w:fill="auto"/>
            <w:noWrap/>
            <w:tcMar>
              <w:top w:w="12" w:type="dxa"/>
              <w:left w:w="12" w:type="dxa"/>
              <w:right w:w="12" w:type="dxa"/>
            </w:tcMar>
            <w:vAlign w:val="center"/>
          </w:tcPr>
          <w:p w14:paraId="75821BB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796.97±79.55 </w:t>
            </w:r>
            <w:r>
              <w:rPr>
                <w:rFonts w:hint="default" w:ascii="Times New Roman" w:hAnsi="Times New Roman" w:cs="Times New Roman"/>
                <w:i w:val="0"/>
                <w:color w:val="auto"/>
                <w:kern w:val="0"/>
                <w:sz w:val="18"/>
                <w:szCs w:val="18"/>
                <w:u w:val="none"/>
                <w:lang w:val="en-US" w:eastAsia="zh-CN" w:bidi="ar"/>
              </w:rPr>
              <w:t>A</w:t>
            </w:r>
          </w:p>
        </w:tc>
        <w:tc>
          <w:tcPr>
            <w:tcW w:w="772" w:type="dxa"/>
            <w:tcBorders>
              <w:top w:val="nil"/>
              <w:left w:val="nil"/>
              <w:bottom w:val="nil"/>
              <w:right w:val="nil"/>
            </w:tcBorders>
            <w:shd w:val="clear" w:color="auto" w:fill="auto"/>
            <w:noWrap/>
            <w:tcMar>
              <w:top w:w="12" w:type="dxa"/>
              <w:left w:w="12" w:type="dxa"/>
              <w:right w:w="12" w:type="dxa"/>
            </w:tcMar>
            <w:vAlign w:val="center"/>
          </w:tcPr>
          <w:p w14:paraId="17C7DD8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cs="Times New Roman"/>
                <w:i w:val="0"/>
                <w:color w:val="auto"/>
                <w:kern w:val="0"/>
                <w:sz w:val="18"/>
                <w:szCs w:val="18"/>
                <w:u w:val="none"/>
                <w:lang w:val="en-US" w:eastAsia="zh-CN" w:bidi="ar"/>
              </w:rPr>
            </w:pPr>
            <w:r>
              <w:rPr>
                <w:rFonts w:hint="default" w:ascii="Times New Roman" w:hAnsi="Times New Roman" w:cs="Times New Roman"/>
                <w:i w:val="0"/>
                <w:color w:val="auto"/>
                <w:kern w:val="0"/>
                <w:sz w:val="18"/>
                <w:szCs w:val="18"/>
                <w:u w:val="none"/>
                <w:lang w:val="en-US" w:eastAsia="zh-CN" w:bidi="ar"/>
              </w:rPr>
              <w:t>48</w:t>
            </w:r>
          </w:p>
        </w:tc>
      </w:tr>
      <w:tr w14:paraId="79F3BA10">
        <w:tblPrEx>
          <w:shd w:val="clear" w:color="auto" w:fill="auto"/>
          <w:tblCellMar>
            <w:top w:w="0" w:type="dxa"/>
            <w:left w:w="0" w:type="dxa"/>
            <w:bottom w:w="0" w:type="dxa"/>
            <w:right w:w="0" w:type="dxa"/>
          </w:tblCellMar>
        </w:tblPrEx>
        <w:trPr>
          <w:trHeight w:val="301" w:hRule="atLeast"/>
        </w:trPr>
        <w:tc>
          <w:tcPr>
            <w:tcW w:w="513" w:type="dxa"/>
            <w:tcBorders>
              <w:top w:val="nil"/>
              <w:left w:val="nil"/>
              <w:bottom w:val="nil"/>
              <w:right w:val="nil"/>
            </w:tcBorders>
            <w:shd w:val="clear" w:color="auto" w:fill="auto"/>
            <w:noWrap/>
            <w:tcMar>
              <w:top w:w="12" w:type="dxa"/>
              <w:left w:w="12" w:type="dxa"/>
              <w:right w:w="12" w:type="dxa"/>
            </w:tcMar>
            <w:vAlign w:val="center"/>
          </w:tcPr>
          <w:p w14:paraId="1DA9B0DF">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8</w:t>
            </w:r>
          </w:p>
        </w:tc>
        <w:tc>
          <w:tcPr>
            <w:tcW w:w="756" w:type="dxa"/>
            <w:tcBorders>
              <w:top w:val="nil"/>
              <w:left w:val="nil"/>
              <w:bottom w:val="nil"/>
              <w:right w:val="nil"/>
            </w:tcBorders>
            <w:shd w:val="clear" w:color="auto" w:fill="auto"/>
            <w:noWrap/>
            <w:tcMar>
              <w:top w:w="12" w:type="dxa"/>
              <w:left w:w="12" w:type="dxa"/>
              <w:right w:w="12" w:type="dxa"/>
            </w:tcMar>
            <w:vAlign w:val="center"/>
          </w:tcPr>
          <w:p w14:paraId="3F04393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565.47</w:t>
            </w:r>
          </w:p>
        </w:tc>
        <w:tc>
          <w:tcPr>
            <w:tcW w:w="729" w:type="dxa"/>
            <w:tcBorders>
              <w:top w:val="nil"/>
              <w:left w:val="nil"/>
              <w:bottom w:val="nil"/>
              <w:right w:val="nil"/>
            </w:tcBorders>
            <w:shd w:val="clear" w:color="auto" w:fill="auto"/>
            <w:noWrap/>
            <w:tcMar>
              <w:top w:w="12" w:type="dxa"/>
              <w:left w:w="12" w:type="dxa"/>
              <w:right w:w="12" w:type="dxa"/>
            </w:tcMar>
            <w:vAlign w:val="center"/>
          </w:tcPr>
          <w:p w14:paraId="6ACD07C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535.42</w:t>
            </w:r>
          </w:p>
        </w:tc>
        <w:tc>
          <w:tcPr>
            <w:tcW w:w="685" w:type="dxa"/>
            <w:tcBorders>
              <w:top w:val="nil"/>
              <w:left w:val="nil"/>
              <w:bottom w:val="nil"/>
              <w:right w:val="nil"/>
            </w:tcBorders>
            <w:shd w:val="clear" w:color="auto" w:fill="auto"/>
            <w:noWrap/>
            <w:tcMar>
              <w:top w:w="12" w:type="dxa"/>
              <w:left w:w="12" w:type="dxa"/>
              <w:right w:w="12" w:type="dxa"/>
            </w:tcMar>
            <w:vAlign w:val="center"/>
          </w:tcPr>
          <w:p w14:paraId="050C4AA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495.41</w:t>
            </w:r>
          </w:p>
        </w:tc>
        <w:tc>
          <w:tcPr>
            <w:tcW w:w="702" w:type="dxa"/>
            <w:tcBorders>
              <w:top w:val="nil"/>
              <w:left w:val="nil"/>
              <w:bottom w:val="nil"/>
              <w:right w:val="nil"/>
            </w:tcBorders>
            <w:shd w:val="clear" w:color="auto" w:fill="auto"/>
            <w:noWrap/>
            <w:tcMar>
              <w:top w:w="12" w:type="dxa"/>
              <w:left w:w="12" w:type="dxa"/>
              <w:right w:w="12" w:type="dxa"/>
            </w:tcMar>
            <w:vAlign w:val="center"/>
          </w:tcPr>
          <w:p w14:paraId="56FA46B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668.42</w:t>
            </w:r>
          </w:p>
        </w:tc>
        <w:tc>
          <w:tcPr>
            <w:tcW w:w="738" w:type="dxa"/>
            <w:tcBorders>
              <w:top w:val="nil"/>
              <w:left w:val="nil"/>
              <w:bottom w:val="nil"/>
              <w:right w:val="nil"/>
            </w:tcBorders>
            <w:shd w:val="clear" w:color="auto" w:fill="auto"/>
            <w:noWrap/>
            <w:tcMar>
              <w:top w:w="12" w:type="dxa"/>
              <w:left w:w="12" w:type="dxa"/>
              <w:right w:w="12" w:type="dxa"/>
            </w:tcMar>
            <w:vAlign w:val="center"/>
          </w:tcPr>
          <w:p w14:paraId="04974B1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637.00</w:t>
            </w:r>
          </w:p>
        </w:tc>
        <w:tc>
          <w:tcPr>
            <w:tcW w:w="765" w:type="dxa"/>
            <w:tcBorders>
              <w:top w:val="nil"/>
              <w:left w:val="nil"/>
              <w:bottom w:val="nil"/>
              <w:right w:val="nil"/>
            </w:tcBorders>
            <w:shd w:val="clear" w:color="auto" w:fill="auto"/>
            <w:noWrap/>
            <w:tcMar>
              <w:top w:w="12" w:type="dxa"/>
              <w:left w:w="12" w:type="dxa"/>
              <w:right w:w="12" w:type="dxa"/>
            </w:tcMar>
            <w:vAlign w:val="center"/>
          </w:tcPr>
          <w:p w14:paraId="0E537D03">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624.31</w:t>
            </w:r>
          </w:p>
        </w:tc>
        <w:tc>
          <w:tcPr>
            <w:tcW w:w="729" w:type="dxa"/>
            <w:tcBorders>
              <w:top w:val="nil"/>
              <w:left w:val="nil"/>
              <w:bottom w:val="nil"/>
              <w:right w:val="nil"/>
            </w:tcBorders>
            <w:shd w:val="clear" w:color="auto" w:fill="auto"/>
            <w:noWrap/>
            <w:tcMar>
              <w:top w:w="12" w:type="dxa"/>
              <w:left w:w="12" w:type="dxa"/>
              <w:right w:w="12" w:type="dxa"/>
            </w:tcMar>
            <w:vAlign w:val="center"/>
          </w:tcPr>
          <w:p w14:paraId="4BBFF6F8">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414.34</w:t>
            </w:r>
          </w:p>
        </w:tc>
        <w:tc>
          <w:tcPr>
            <w:tcW w:w="700" w:type="dxa"/>
            <w:tcBorders>
              <w:top w:val="nil"/>
              <w:left w:val="nil"/>
              <w:bottom w:val="nil"/>
              <w:right w:val="nil"/>
            </w:tcBorders>
            <w:shd w:val="clear" w:color="auto" w:fill="auto"/>
            <w:noWrap/>
            <w:tcMar>
              <w:top w:w="12" w:type="dxa"/>
              <w:left w:w="12" w:type="dxa"/>
              <w:right w:w="12" w:type="dxa"/>
            </w:tcMar>
            <w:vAlign w:val="center"/>
          </w:tcPr>
          <w:p w14:paraId="416A8E3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507.25</w:t>
            </w:r>
          </w:p>
        </w:tc>
        <w:tc>
          <w:tcPr>
            <w:tcW w:w="1290" w:type="dxa"/>
            <w:tcBorders>
              <w:top w:val="nil"/>
              <w:left w:val="nil"/>
              <w:bottom w:val="nil"/>
              <w:right w:val="nil"/>
            </w:tcBorders>
            <w:shd w:val="clear" w:color="auto" w:fill="auto"/>
            <w:noWrap/>
            <w:tcMar>
              <w:top w:w="12" w:type="dxa"/>
              <w:left w:w="12" w:type="dxa"/>
              <w:right w:w="12" w:type="dxa"/>
            </w:tcMar>
            <w:vAlign w:val="center"/>
          </w:tcPr>
          <w:p w14:paraId="5F18BB84">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555.95±84.93 </w:t>
            </w:r>
            <w:r>
              <w:rPr>
                <w:rFonts w:hint="default" w:ascii="Times New Roman" w:hAnsi="Times New Roman" w:cs="Times New Roman"/>
                <w:i w:val="0"/>
                <w:color w:val="auto"/>
                <w:kern w:val="0"/>
                <w:sz w:val="18"/>
                <w:szCs w:val="18"/>
                <w:u w:val="none"/>
                <w:lang w:val="en-US" w:eastAsia="zh-CN" w:bidi="ar"/>
              </w:rPr>
              <w:t>B</w:t>
            </w:r>
          </w:p>
        </w:tc>
        <w:tc>
          <w:tcPr>
            <w:tcW w:w="772" w:type="dxa"/>
            <w:tcBorders>
              <w:top w:val="nil"/>
              <w:left w:val="nil"/>
              <w:bottom w:val="nil"/>
              <w:right w:val="nil"/>
            </w:tcBorders>
            <w:shd w:val="clear" w:color="auto" w:fill="auto"/>
            <w:noWrap/>
            <w:tcMar>
              <w:top w:w="12" w:type="dxa"/>
              <w:left w:w="12" w:type="dxa"/>
              <w:right w:w="12" w:type="dxa"/>
            </w:tcMar>
            <w:vAlign w:val="center"/>
          </w:tcPr>
          <w:p w14:paraId="34FA77B5">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kern w:val="0"/>
                <w:sz w:val="18"/>
                <w:szCs w:val="18"/>
                <w:u w:val="none"/>
                <w:lang w:val="en-US" w:eastAsia="zh-CN" w:bidi="ar"/>
              </w:rPr>
            </w:pPr>
            <w:r>
              <w:rPr>
                <w:rFonts w:hint="default" w:ascii="Times New Roman" w:hAnsi="Times New Roman" w:cs="Times New Roman"/>
                <w:i w:val="0"/>
                <w:color w:val="auto"/>
                <w:kern w:val="0"/>
                <w:sz w:val="18"/>
                <w:szCs w:val="18"/>
                <w:u w:val="none"/>
                <w:lang w:val="en-US" w:eastAsia="zh-CN" w:bidi="ar"/>
              </w:rPr>
              <w:t>34</w:t>
            </w:r>
          </w:p>
        </w:tc>
      </w:tr>
      <w:tr w14:paraId="2FA684F5">
        <w:tblPrEx>
          <w:tblCellMar>
            <w:top w:w="0" w:type="dxa"/>
            <w:left w:w="0" w:type="dxa"/>
            <w:bottom w:w="0" w:type="dxa"/>
            <w:right w:w="0" w:type="dxa"/>
          </w:tblCellMar>
        </w:tblPrEx>
        <w:trPr>
          <w:trHeight w:val="292" w:hRule="atLeast"/>
        </w:trPr>
        <w:tc>
          <w:tcPr>
            <w:tcW w:w="513" w:type="dxa"/>
            <w:tcBorders>
              <w:top w:val="nil"/>
              <w:left w:val="nil"/>
              <w:bottom w:val="nil"/>
              <w:right w:val="nil"/>
            </w:tcBorders>
            <w:shd w:val="clear" w:color="auto" w:fill="auto"/>
            <w:noWrap/>
            <w:tcMar>
              <w:top w:w="12" w:type="dxa"/>
              <w:left w:w="12" w:type="dxa"/>
              <w:right w:w="12" w:type="dxa"/>
            </w:tcMar>
            <w:vAlign w:val="center"/>
          </w:tcPr>
          <w:p w14:paraId="693AB8DC">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9</w:t>
            </w:r>
          </w:p>
        </w:tc>
        <w:tc>
          <w:tcPr>
            <w:tcW w:w="756" w:type="dxa"/>
            <w:tcBorders>
              <w:top w:val="nil"/>
              <w:left w:val="nil"/>
              <w:bottom w:val="nil"/>
              <w:right w:val="nil"/>
            </w:tcBorders>
            <w:shd w:val="clear" w:color="auto" w:fill="auto"/>
            <w:noWrap/>
            <w:tcMar>
              <w:top w:w="12" w:type="dxa"/>
              <w:left w:w="12" w:type="dxa"/>
              <w:right w:w="12" w:type="dxa"/>
            </w:tcMar>
            <w:vAlign w:val="center"/>
          </w:tcPr>
          <w:p w14:paraId="2037C2D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152.11</w:t>
            </w:r>
          </w:p>
        </w:tc>
        <w:tc>
          <w:tcPr>
            <w:tcW w:w="729" w:type="dxa"/>
            <w:tcBorders>
              <w:top w:val="nil"/>
              <w:left w:val="nil"/>
              <w:bottom w:val="nil"/>
              <w:right w:val="nil"/>
            </w:tcBorders>
            <w:shd w:val="clear" w:color="auto" w:fill="auto"/>
            <w:noWrap/>
            <w:tcMar>
              <w:top w:w="12" w:type="dxa"/>
              <w:left w:w="12" w:type="dxa"/>
              <w:right w:w="12" w:type="dxa"/>
            </w:tcMar>
            <w:vAlign w:val="center"/>
          </w:tcPr>
          <w:p w14:paraId="20E2710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125.33</w:t>
            </w:r>
          </w:p>
        </w:tc>
        <w:tc>
          <w:tcPr>
            <w:tcW w:w="685" w:type="dxa"/>
            <w:tcBorders>
              <w:top w:val="nil"/>
              <w:left w:val="nil"/>
              <w:bottom w:val="nil"/>
              <w:right w:val="nil"/>
            </w:tcBorders>
            <w:shd w:val="clear" w:color="auto" w:fill="auto"/>
            <w:noWrap/>
            <w:tcMar>
              <w:top w:w="12" w:type="dxa"/>
              <w:left w:w="12" w:type="dxa"/>
              <w:right w:w="12" w:type="dxa"/>
            </w:tcMar>
            <w:vAlign w:val="center"/>
          </w:tcPr>
          <w:p w14:paraId="59EF9915">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78.62</w:t>
            </w:r>
          </w:p>
        </w:tc>
        <w:tc>
          <w:tcPr>
            <w:tcW w:w="702" w:type="dxa"/>
            <w:tcBorders>
              <w:top w:val="nil"/>
              <w:left w:val="nil"/>
              <w:bottom w:val="nil"/>
              <w:right w:val="nil"/>
            </w:tcBorders>
            <w:shd w:val="clear" w:color="auto" w:fill="auto"/>
            <w:noWrap/>
            <w:tcMar>
              <w:top w:w="12" w:type="dxa"/>
              <w:left w:w="12" w:type="dxa"/>
              <w:right w:w="12" w:type="dxa"/>
            </w:tcMar>
            <w:vAlign w:val="center"/>
          </w:tcPr>
          <w:p w14:paraId="31F5959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232.50</w:t>
            </w:r>
          </w:p>
        </w:tc>
        <w:tc>
          <w:tcPr>
            <w:tcW w:w="738" w:type="dxa"/>
            <w:tcBorders>
              <w:top w:val="nil"/>
              <w:left w:val="nil"/>
              <w:bottom w:val="nil"/>
              <w:right w:val="nil"/>
            </w:tcBorders>
            <w:shd w:val="clear" w:color="auto" w:fill="auto"/>
            <w:noWrap/>
            <w:tcMar>
              <w:top w:w="12" w:type="dxa"/>
              <w:left w:w="12" w:type="dxa"/>
              <w:right w:w="12" w:type="dxa"/>
            </w:tcMar>
            <w:vAlign w:val="center"/>
          </w:tcPr>
          <w:p w14:paraId="5706D179">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279.67</w:t>
            </w:r>
          </w:p>
        </w:tc>
        <w:tc>
          <w:tcPr>
            <w:tcW w:w="765" w:type="dxa"/>
            <w:tcBorders>
              <w:top w:val="nil"/>
              <w:left w:val="nil"/>
              <w:bottom w:val="nil"/>
              <w:right w:val="nil"/>
            </w:tcBorders>
            <w:shd w:val="clear" w:color="auto" w:fill="auto"/>
            <w:noWrap/>
            <w:tcMar>
              <w:top w:w="12" w:type="dxa"/>
              <w:left w:w="12" w:type="dxa"/>
              <w:right w:w="12" w:type="dxa"/>
            </w:tcMar>
            <w:vAlign w:val="center"/>
          </w:tcPr>
          <w:p w14:paraId="1EF8BC0B">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180.01</w:t>
            </w:r>
          </w:p>
        </w:tc>
        <w:tc>
          <w:tcPr>
            <w:tcW w:w="729" w:type="dxa"/>
            <w:tcBorders>
              <w:top w:val="nil"/>
              <w:left w:val="nil"/>
              <w:bottom w:val="nil"/>
              <w:right w:val="nil"/>
            </w:tcBorders>
            <w:shd w:val="clear" w:color="auto" w:fill="auto"/>
            <w:noWrap/>
            <w:tcMar>
              <w:top w:w="12" w:type="dxa"/>
              <w:left w:w="12" w:type="dxa"/>
              <w:right w:w="12" w:type="dxa"/>
            </w:tcMar>
            <w:vAlign w:val="center"/>
          </w:tcPr>
          <w:p w14:paraId="7DF689D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194.08</w:t>
            </w:r>
          </w:p>
        </w:tc>
        <w:tc>
          <w:tcPr>
            <w:tcW w:w="700" w:type="dxa"/>
            <w:tcBorders>
              <w:top w:val="nil"/>
              <w:left w:val="nil"/>
              <w:bottom w:val="nil"/>
              <w:right w:val="nil"/>
            </w:tcBorders>
            <w:shd w:val="clear" w:color="auto" w:fill="auto"/>
            <w:noWrap/>
            <w:tcMar>
              <w:top w:w="12" w:type="dxa"/>
              <w:left w:w="12" w:type="dxa"/>
              <w:right w:w="12" w:type="dxa"/>
            </w:tcMar>
            <w:vAlign w:val="center"/>
          </w:tcPr>
          <w:p w14:paraId="2EE73B56">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306.17</w:t>
            </w:r>
          </w:p>
        </w:tc>
        <w:tc>
          <w:tcPr>
            <w:tcW w:w="1290" w:type="dxa"/>
            <w:tcBorders>
              <w:top w:val="nil"/>
              <w:left w:val="nil"/>
              <w:bottom w:val="nil"/>
              <w:right w:val="nil"/>
            </w:tcBorders>
            <w:shd w:val="clear" w:color="auto" w:fill="auto"/>
            <w:noWrap/>
            <w:tcMar>
              <w:top w:w="12" w:type="dxa"/>
              <w:left w:w="12" w:type="dxa"/>
              <w:right w:w="12" w:type="dxa"/>
            </w:tcMar>
            <w:vAlign w:val="center"/>
          </w:tcPr>
          <w:p w14:paraId="7C7EA3E3">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 xml:space="preserve">193.56±76.89 </w:t>
            </w:r>
            <w:r>
              <w:rPr>
                <w:rFonts w:hint="default" w:ascii="Times New Roman" w:hAnsi="Times New Roman" w:cs="Times New Roman"/>
                <w:i w:val="0"/>
                <w:color w:val="auto"/>
                <w:kern w:val="0"/>
                <w:sz w:val="18"/>
                <w:szCs w:val="18"/>
                <w:u w:val="none"/>
                <w:lang w:val="en-US" w:eastAsia="zh-CN" w:bidi="ar"/>
              </w:rPr>
              <w:t>C</w:t>
            </w:r>
          </w:p>
        </w:tc>
        <w:tc>
          <w:tcPr>
            <w:tcW w:w="772" w:type="dxa"/>
            <w:tcBorders>
              <w:top w:val="nil"/>
              <w:left w:val="nil"/>
              <w:bottom w:val="nil"/>
              <w:right w:val="nil"/>
            </w:tcBorders>
            <w:shd w:val="clear" w:color="auto" w:fill="auto"/>
            <w:noWrap/>
            <w:tcMar>
              <w:top w:w="12" w:type="dxa"/>
              <w:left w:w="12" w:type="dxa"/>
              <w:right w:w="12" w:type="dxa"/>
            </w:tcMar>
            <w:vAlign w:val="center"/>
          </w:tcPr>
          <w:p w14:paraId="76CA079E">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kern w:val="0"/>
                <w:sz w:val="18"/>
                <w:szCs w:val="18"/>
                <w:u w:val="none"/>
                <w:lang w:val="en-US" w:eastAsia="zh-CN" w:bidi="ar"/>
              </w:rPr>
            </w:pPr>
            <w:r>
              <w:rPr>
                <w:rFonts w:hint="default" w:ascii="Times New Roman" w:hAnsi="Times New Roman" w:cs="Times New Roman"/>
                <w:i w:val="0"/>
                <w:color w:val="auto"/>
                <w:kern w:val="0"/>
                <w:sz w:val="18"/>
                <w:szCs w:val="18"/>
                <w:u w:val="none"/>
                <w:lang w:val="en-US" w:eastAsia="zh-CN" w:bidi="ar"/>
              </w:rPr>
              <w:t>12</w:t>
            </w:r>
          </w:p>
        </w:tc>
      </w:tr>
      <w:tr w14:paraId="1057C7D8">
        <w:tblPrEx>
          <w:tblCellMar>
            <w:top w:w="0" w:type="dxa"/>
            <w:left w:w="0" w:type="dxa"/>
            <w:bottom w:w="0" w:type="dxa"/>
            <w:right w:w="0" w:type="dxa"/>
          </w:tblCellMar>
        </w:tblPrEx>
        <w:trPr>
          <w:trHeight w:val="228" w:hRule="atLeast"/>
        </w:trPr>
        <w:tc>
          <w:tcPr>
            <w:tcW w:w="513" w:type="dxa"/>
            <w:tcBorders>
              <w:top w:val="nil"/>
              <w:left w:val="nil"/>
              <w:bottom w:val="single" w:color="000000" w:sz="4" w:space="0"/>
              <w:right w:val="nil"/>
            </w:tcBorders>
            <w:shd w:val="clear" w:color="auto" w:fill="auto"/>
            <w:noWrap/>
            <w:tcMar>
              <w:top w:w="12" w:type="dxa"/>
              <w:left w:w="12" w:type="dxa"/>
              <w:right w:w="12" w:type="dxa"/>
            </w:tcMar>
            <w:vAlign w:val="center"/>
          </w:tcPr>
          <w:p w14:paraId="23DB4A7F">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总计</w:t>
            </w:r>
          </w:p>
        </w:tc>
        <w:tc>
          <w:tcPr>
            <w:tcW w:w="756" w:type="dxa"/>
            <w:tcBorders>
              <w:top w:val="nil"/>
              <w:left w:val="nil"/>
              <w:bottom w:val="single" w:color="000000" w:sz="4" w:space="0"/>
              <w:right w:val="nil"/>
            </w:tcBorders>
            <w:shd w:val="clear" w:color="auto" w:fill="auto"/>
            <w:noWrap/>
            <w:tcMar>
              <w:top w:w="12" w:type="dxa"/>
              <w:left w:w="12" w:type="dxa"/>
              <w:right w:w="12" w:type="dxa"/>
            </w:tcMar>
            <w:vAlign w:val="center"/>
          </w:tcPr>
          <w:p w14:paraId="0AE86577">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1896.06</w:t>
            </w:r>
          </w:p>
        </w:tc>
        <w:tc>
          <w:tcPr>
            <w:tcW w:w="729" w:type="dxa"/>
            <w:tcBorders>
              <w:top w:val="nil"/>
              <w:left w:val="nil"/>
              <w:bottom w:val="single" w:color="000000" w:sz="4" w:space="0"/>
              <w:right w:val="nil"/>
            </w:tcBorders>
            <w:shd w:val="clear" w:color="auto" w:fill="auto"/>
            <w:noWrap/>
            <w:tcMar>
              <w:top w:w="12" w:type="dxa"/>
              <w:left w:w="12" w:type="dxa"/>
              <w:right w:w="12" w:type="dxa"/>
            </w:tcMar>
            <w:vAlign w:val="center"/>
          </w:tcPr>
          <w:p w14:paraId="10014507">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1511.96</w:t>
            </w:r>
          </w:p>
        </w:tc>
        <w:tc>
          <w:tcPr>
            <w:tcW w:w="685" w:type="dxa"/>
            <w:tcBorders>
              <w:top w:val="nil"/>
              <w:left w:val="nil"/>
              <w:bottom w:val="single" w:color="000000" w:sz="4" w:space="0"/>
              <w:right w:val="nil"/>
            </w:tcBorders>
            <w:shd w:val="clear" w:color="auto" w:fill="auto"/>
            <w:noWrap/>
            <w:tcMar>
              <w:top w:w="12" w:type="dxa"/>
              <w:left w:w="12" w:type="dxa"/>
              <w:right w:w="12" w:type="dxa"/>
            </w:tcMar>
            <w:vAlign w:val="center"/>
          </w:tcPr>
          <w:p w14:paraId="34498372">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1445.06</w:t>
            </w:r>
          </w:p>
        </w:tc>
        <w:tc>
          <w:tcPr>
            <w:tcW w:w="702" w:type="dxa"/>
            <w:tcBorders>
              <w:top w:val="nil"/>
              <w:left w:val="nil"/>
              <w:bottom w:val="single" w:color="000000" w:sz="4" w:space="0"/>
              <w:right w:val="nil"/>
            </w:tcBorders>
            <w:shd w:val="clear" w:color="auto" w:fill="auto"/>
            <w:noWrap/>
            <w:tcMar>
              <w:top w:w="12" w:type="dxa"/>
              <w:left w:w="12" w:type="dxa"/>
              <w:right w:w="12" w:type="dxa"/>
            </w:tcMar>
            <w:vAlign w:val="center"/>
          </w:tcPr>
          <w:p w14:paraId="6B5AED67">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1676.75</w:t>
            </w:r>
          </w:p>
        </w:tc>
        <w:tc>
          <w:tcPr>
            <w:tcW w:w="738" w:type="dxa"/>
            <w:tcBorders>
              <w:top w:val="nil"/>
              <w:left w:val="nil"/>
              <w:bottom w:val="single" w:color="000000" w:sz="4" w:space="0"/>
              <w:right w:val="nil"/>
            </w:tcBorders>
            <w:shd w:val="clear" w:color="auto" w:fill="auto"/>
            <w:noWrap/>
            <w:tcMar>
              <w:top w:w="12" w:type="dxa"/>
              <w:left w:w="12" w:type="dxa"/>
              <w:right w:w="12" w:type="dxa"/>
            </w:tcMar>
            <w:vAlign w:val="center"/>
          </w:tcPr>
          <w:p w14:paraId="02C6326A">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1678.52</w:t>
            </w:r>
          </w:p>
        </w:tc>
        <w:tc>
          <w:tcPr>
            <w:tcW w:w="765" w:type="dxa"/>
            <w:tcBorders>
              <w:top w:val="nil"/>
              <w:left w:val="nil"/>
              <w:bottom w:val="single" w:color="000000" w:sz="4" w:space="0"/>
              <w:right w:val="nil"/>
            </w:tcBorders>
            <w:shd w:val="clear" w:color="auto" w:fill="auto"/>
            <w:noWrap/>
            <w:tcMar>
              <w:top w:w="12" w:type="dxa"/>
              <w:left w:w="12" w:type="dxa"/>
              <w:right w:w="12" w:type="dxa"/>
            </w:tcMar>
            <w:vAlign w:val="center"/>
          </w:tcPr>
          <w:p w14:paraId="39078612">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1725.56</w:t>
            </w:r>
          </w:p>
        </w:tc>
        <w:tc>
          <w:tcPr>
            <w:tcW w:w="729" w:type="dxa"/>
            <w:tcBorders>
              <w:top w:val="nil"/>
              <w:left w:val="nil"/>
              <w:bottom w:val="single" w:color="000000" w:sz="4" w:space="0"/>
              <w:right w:val="nil"/>
            </w:tcBorders>
            <w:shd w:val="clear" w:color="auto" w:fill="auto"/>
            <w:noWrap/>
            <w:tcMar>
              <w:top w:w="12" w:type="dxa"/>
              <w:left w:w="12" w:type="dxa"/>
              <w:right w:w="12" w:type="dxa"/>
            </w:tcMar>
            <w:vAlign w:val="center"/>
          </w:tcPr>
          <w:p w14:paraId="53295411">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1492.70</w:t>
            </w:r>
          </w:p>
        </w:tc>
        <w:tc>
          <w:tcPr>
            <w:tcW w:w="700" w:type="dxa"/>
            <w:tcBorders>
              <w:top w:val="nil"/>
              <w:left w:val="nil"/>
              <w:bottom w:val="single" w:color="000000" w:sz="4" w:space="0"/>
              <w:right w:val="nil"/>
            </w:tcBorders>
            <w:shd w:val="clear" w:color="auto" w:fill="auto"/>
            <w:noWrap/>
            <w:tcMar>
              <w:top w:w="12" w:type="dxa"/>
              <w:left w:w="12" w:type="dxa"/>
              <w:right w:w="12" w:type="dxa"/>
            </w:tcMar>
            <w:vAlign w:val="center"/>
          </w:tcPr>
          <w:p w14:paraId="4419BFFF">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1805.95</w:t>
            </w:r>
          </w:p>
        </w:tc>
        <w:tc>
          <w:tcPr>
            <w:tcW w:w="1290" w:type="dxa"/>
            <w:tcBorders>
              <w:top w:val="nil"/>
              <w:left w:val="nil"/>
              <w:bottom w:val="single" w:color="000000" w:sz="4" w:space="0"/>
              <w:right w:val="nil"/>
            </w:tcBorders>
            <w:shd w:val="clear" w:color="auto" w:fill="auto"/>
            <w:noWrap/>
            <w:tcMar>
              <w:top w:w="12" w:type="dxa"/>
              <w:left w:w="12" w:type="dxa"/>
              <w:right w:w="12" w:type="dxa"/>
            </w:tcMar>
            <w:vAlign w:val="center"/>
          </w:tcPr>
          <w:p w14:paraId="73636AD3">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sz w:val="18"/>
                <w:szCs w:val="18"/>
                <w:u w:val="none"/>
              </w:rPr>
            </w:pPr>
            <w:r>
              <w:rPr>
                <w:rFonts w:hint="default" w:ascii="Times New Roman" w:hAnsi="Times New Roman" w:eastAsia="宋体" w:cs="Times New Roman"/>
                <w:i w:val="0"/>
                <w:color w:val="auto"/>
                <w:kern w:val="0"/>
                <w:sz w:val="18"/>
                <w:szCs w:val="18"/>
                <w:u w:val="none"/>
                <w:lang w:val="en-US" w:eastAsia="zh-CN" w:bidi="ar"/>
              </w:rPr>
              <w:t>1654.07</w:t>
            </w:r>
          </w:p>
        </w:tc>
        <w:tc>
          <w:tcPr>
            <w:tcW w:w="772" w:type="dxa"/>
            <w:tcBorders>
              <w:top w:val="nil"/>
              <w:left w:val="nil"/>
              <w:bottom w:val="single" w:color="000000" w:sz="4" w:space="0"/>
              <w:right w:val="nil"/>
            </w:tcBorders>
            <w:shd w:val="clear" w:color="auto" w:fill="auto"/>
            <w:noWrap/>
            <w:tcMar>
              <w:top w:w="12" w:type="dxa"/>
              <w:left w:w="12" w:type="dxa"/>
              <w:right w:w="12" w:type="dxa"/>
            </w:tcMar>
            <w:vAlign w:val="center"/>
          </w:tcPr>
          <w:p w14:paraId="0D33941D">
            <w:pPr>
              <w:keepNext w:val="0"/>
              <w:keepLines w:val="0"/>
              <w:pageBreakBefore w:val="0"/>
              <w:widowControl/>
              <w:suppressLineNumbers w:val="0"/>
              <w:kinsoku/>
              <w:wordWrap/>
              <w:overflowPunct/>
              <w:topLinePunct w:val="0"/>
              <w:autoSpaceDE/>
              <w:autoSpaceDN/>
              <w:bidi w:val="0"/>
              <w:adjustRightInd/>
              <w:snapToGrid/>
              <w:spacing w:line="300" w:lineRule="auto"/>
              <w:ind w:left="0" w:leftChars="0" w:firstLine="0" w:firstLineChars="0"/>
              <w:jc w:val="center"/>
              <w:textAlignment w:val="center"/>
              <w:rPr>
                <w:rFonts w:hint="default" w:ascii="Times New Roman" w:hAnsi="Times New Roman" w:eastAsia="宋体" w:cs="Times New Roman"/>
                <w:i w:val="0"/>
                <w:color w:val="auto"/>
                <w:kern w:val="0"/>
                <w:sz w:val="18"/>
                <w:szCs w:val="18"/>
                <w:u w:val="none"/>
                <w:lang w:val="en-US" w:eastAsia="zh-CN" w:bidi="ar"/>
              </w:rPr>
            </w:pPr>
            <w:r>
              <w:rPr>
                <w:rFonts w:hint="default" w:ascii="Times New Roman" w:hAnsi="Times New Roman" w:cs="Times New Roman"/>
                <w:i w:val="0"/>
                <w:color w:val="auto"/>
                <w:kern w:val="0"/>
                <w:sz w:val="18"/>
                <w:szCs w:val="18"/>
                <w:u w:val="none"/>
                <w:lang w:val="en-US" w:eastAsia="zh-CN" w:bidi="ar"/>
              </w:rPr>
              <w:t>100</w:t>
            </w:r>
          </w:p>
        </w:tc>
      </w:tr>
    </w:tbl>
    <w:p w14:paraId="4C602045">
      <w:pPr>
        <w:keepNext w:val="0"/>
        <w:keepLines w:val="0"/>
        <w:pageBreakBefore w:val="0"/>
        <w:widowControl/>
        <w:kinsoku/>
        <w:wordWrap/>
        <w:overflowPunct/>
        <w:topLinePunct w:val="0"/>
        <w:autoSpaceDE/>
        <w:autoSpaceDN/>
        <w:bidi w:val="0"/>
        <w:adjustRightInd/>
        <w:snapToGrid/>
        <w:spacing w:line="300" w:lineRule="auto"/>
        <w:ind w:firstLine="360" w:firstLineChars="200"/>
        <w:jc w:val="both"/>
        <w:rPr>
          <w:rFonts w:hint="default" w:ascii="Times New Roman" w:hAnsi="Times New Roman" w:cs="Times New Roman"/>
          <w:color w:val="000000" w:themeColor="text1"/>
          <w:kern w:val="0"/>
          <w:sz w:val="18"/>
          <w:szCs w:val="18"/>
          <w:lang w:eastAsia="zh-CN" w:bidi="ar"/>
          <w14:textFill>
            <w14:solidFill>
              <w14:schemeClr w14:val="tx1"/>
            </w14:solidFill>
          </w14:textFill>
        </w:rPr>
      </w:pPr>
      <w:r>
        <w:rPr>
          <w:rFonts w:hint="default" w:ascii="Times New Roman" w:hAnsi="Times New Roman" w:cs="Times New Roman"/>
          <w:color w:val="000000" w:themeColor="text1"/>
          <w:kern w:val="0"/>
          <w:sz w:val="18"/>
          <w:szCs w:val="18"/>
          <w:lang w:val="en-US" w:eastAsia="zh-CN" w:bidi="ar"/>
          <w14:textFill>
            <w14:solidFill>
              <w14:schemeClr w14:val="tx1"/>
            </w14:solidFill>
          </w14:textFill>
        </w:rPr>
        <w:t>说明：</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表中均产量数据为平均值±标准差，同列数据后标不同</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大</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写字母者表示差异</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极</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显著(</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p</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&lt; 0.0</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1</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，A</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w:t>
      </w:r>
      <w:r>
        <w:rPr>
          <w:rFonts w:hint="default" w:ascii="Times New Roman" w:hAnsi="Times New Roman" w:cs="Times New Roman"/>
          <w:i w:val="0"/>
          <w:color w:val="000000" w:themeColor="text1"/>
          <w:kern w:val="0"/>
          <w:sz w:val="18"/>
          <w:szCs w:val="18"/>
          <w:u w:val="none"/>
          <w:lang w:val="en-US" w:eastAsia="zh-CN" w:bidi="ar"/>
          <w14:textFill>
            <w14:solidFill>
              <w14:schemeClr w14:val="tx1"/>
            </w14:solidFill>
          </w14:textFill>
        </w:rPr>
        <w:t>C</w:t>
      </w:r>
      <w:r>
        <w:rPr>
          <w:rFonts w:hint="default" w:ascii="Times New Roman" w:hAnsi="Times New Roman" w:eastAsia="宋体" w:cs="Times New Roman"/>
          <w:i w:val="0"/>
          <w:color w:val="000000" w:themeColor="text1"/>
          <w:kern w:val="0"/>
          <w:sz w:val="18"/>
          <w:szCs w:val="18"/>
          <w:u w:val="none"/>
          <w:lang w:val="en-US" w:eastAsia="zh-CN" w:bidi="ar"/>
          <w14:textFill>
            <w14:solidFill>
              <w14:schemeClr w14:val="tx1"/>
            </w14:solidFill>
          </w14:textFill>
        </w:rPr>
        <w:t>，差异显著性逐渐增强</w:t>
      </w:r>
      <w:r>
        <w:rPr>
          <w:rFonts w:hint="default" w:ascii="Times New Roman" w:hAnsi="Times New Roman" w:cs="Times New Roman"/>
          <w:color w:val="000000" w:themeColor="text1"/>
          <w:kern w:val="0"/>
          <w:sz w:val="18"/>
          <w:szCs w:val="18"/>
          <w:lang w:eastAsia="zh-CN" w:bidi="ar"/>
          <w14:textFill>
            <w14:solidFill>
              <w14:schemeClr w14:val="tx1"/>
            </w14:solidFill>
          </w14:textFill>
        </w:rPr>
        <w:t>。</w:t>
      </w:r>
    </w:p>
    <w:p w14:paraId="6523996C">
      <w:pPr>
        <w:widowControl w:val="0"/>
        <w:numPr>
          <w:ilvl w:val="0"/>
          <w:numId w:val="0"/>
        </w:numPr>
        <w:autoSpaceDE w:val="0"/>
        <w:autoSpaceDN w:val="0"/>
        <w:adjustRightInd w:val="0"/>
        <w:spacing w:line="560" w:lineRule="exact"/>
        <w:jc w:val="left"/>
        <w:rPr>
          <w:rFonts w:hint="default" w:ascii="黑体" w:hAnsi="黑体" w:eastAsia="黑体" w:cs="仿宋_GB2312"/>
          <w:szCs w:val="32"/>
          <w:lang w:val="en-US" w:eastAsia="zh-CN"/>
        </w:rPr>
      </w:pPr>
    </w:p>
    <w:p w14:paraId="50FA4870">
      <w:pPr>
        <w:keepNext w:val="0"/>
        <w:keepLines w:val="0"/>
        <w:pageBreakBefore w:val="0"/>
        <w:widowControl w:val="0"/>
        <w:kinsoku/>
        <w:wordWrap/>
        <w:overflowPunct/>
        <w:topLinePunct w:val="0"/>
        <w:autoSpaceDE/>
        <w:autoSpaceDN/>
        <w:bidi w:val="0"/>
        <w:adjustRightInd/>
        <w:snapToGrid/>
        <w:spacing w:line="300" w:lineRule="auto"/>
        <w:ind w:firstLine="643" w:firstLineChars="200"/>
        <w:jc w:val="both"/>
        <w:textAlignment w:val="auto"/>
        <w:rPr>
          <w:rFonts w:hint="default" w:ascii="Times New Roman" w:hAnsi="Times New Roman" w:eastAsia="宋体" w:cs="Times New Roman"/>
          <w:b/>
          <w:bCs/>
          <w:color w:val="000000" w:themeColor="text1"/>
          <w:lang w:val="en-US" w:eastAsia="zh-CN"/>
          <w14:textFill>
            <w14:solidFill>
              <w14:schemeClr w14:val="tx1"/>
            </w14:solidFill>
          </w14:textFill>
        </w:rPr>
      </w:pPr>
      <w:r>
        <w:rPr>
          <w:rFonts w:hint="eastAsia" w:ascii="Times New Roman" w:hAnsi="Times New Roman" w:eastAsia="宋体" w:cs="Times New Roman"/>
          <w:b/>
          <w:bCs/>
          <w:color w:val="000000" w:themeColor="text1"/>
          <w:lang w:val="en-US" w:eastAsia="zh-CN"/>
          <w14:textFill>
            <w14:solidFill>
              <w14:schemeClr w14:val="tx1"/>
            </w14:solidFill>
          </w14:textFill>
        </w:rPr>
        <w:t>2.3测产报告</w:t>
      </w:r>
    </w:p>
    <w:p w14:paraId="6505CC2B">
      <w:pPr>
        <w:keepNext w:val="0"/>
        <w:keepLines w:val="0"/>
        <w:pageBreakBefore w:val="0"/>
        <w:widowControl w:val="0"/>
        <w:kinsoku/>
        <w:wordWrap/>
        <w:overflowPunct/>
        <w:topLinePunct w:val="0"/>
        <w:autoSpaceDE/>
        <w:autoSpaceDN/>
        <w:bidi w:val="0"/>
        <w:adjustRightInd/>
        <w:snapToGrid/>
        <w:spacing w:line="300" w:lineRule="auto"/>
        <w:ind w:firstLine="640" w:firstLineChars="200"/>
        <w:jc w:val="both"/>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测产报告中应明确测产时间、地点、测产品种（</w:t>
      </w:r>
      <w:r>
        <w:rPr>
          <w:rFonts w:hint="eastAsia" w:ascii="Times New Roman" w:hAnsi="Times New Roman" w:eastAsia="宋体" w:cs="Times New Roman"/>
          <w:color w:val="000000" w:themeColor="text1"/>
          <w:lang w:val="en-US" w:eastAsia="zh-CN"/>
          <w14:textFill>
            <w14:solidFill>
              <w14:schemeClr w14:val="tx1"/>
            </w14:solidFill>
          </w14:textFill>
        </w:rPr>
        <w:t>竹种</w:t>
      </w:r>
      <w:r>
        <w:rPr>
          <w:rFonts w:hint="default" w:ascii="Times New Roman" w:hAnsi="Times New Roman" w:eastAsia="宋体" w:cs="Times New Roman"/>
          <w:color w:val="000000" w:themeColor="text1"/>
          <w:lang w:val="en-US" w:eastAsia="zh-CN"/>
          <w14:textFill>
            <w14:solidFill>
              <w14:schemeClr w14:val="tx1"/>
            </w14:solidFill>
          </w14:textFill>
        </w:rPr>
        <w:t>）名称和测产、计算方法以及测产数据、统计结果，并与测产报告同时保存测产现场信息及测定数据的原始记录附件。</w:t>
      </w:r>
    </w:p>
    <w:p w14:paraId="50DB2D18">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六、</w:t>
      </w:r>
      <w:bookmarkEnd w:id="5"/>
      <w:r>
        <w:rPr>
          <w:rFonts w:hint="eastAsia" w:ascii="黑体" w:hAnsi="黑体" w:eastAsia="黑体" w:cs="仿宋_GB2312"/>
          <w:szCs w:val="32"/>
        </w:rPr>
        <w:t>重大分歧意见的处理经过和依据</w:t>
      </w:r>
    </w:p>
    <w:p w14:paraId="77890C9B">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本标准研制过程中无重大分歧意见。</w:t>
      </w:r>
    </w:p>
    <w:p w14:paraId="22CD0AD4">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七</w:t>
      </w:r>
      <w:r>
        <w:rPr>
          <w:rFonts w:ascii="黑体" w:hAnsi="黑体" w:eastAsia="黑体" w:cs="仿宋_GB2312"/>
          <w:szCs w:val="32"/>
        </w:rPr>
        <w:t>、</w:t>
      </w:r>
      <w:r>
        <w:rPr>
          <w:rFonts w:hint="eastAsia" w:ascii="黑体" w:hAnsi="黑体" w:eastAsia="黑体" w:cs="仿宋_GB2312"/>
          <w:szCs w:val="32"/>
        </w:rPr>
        <w:t>实施标准的措施</w:t>
      </w:r>
    </w:p>
    <w:p w14:paraId="16F2278F">
      <w:pPr>
        <w:spacing w:line="560" w:lineRule="exact"/>
        <w:ind w:firstLine="643"/>
        <w:rPr>
          <w:rFonts w:ascii="仿宋_GB2312" w:hAnsi="宋体"/>
          <w:b/>
          <w:szCs w:val="28"/>
        </w:rPr>
      </w:pPr>
      <w:r>
        <w:rPr>
          <w:rFonts w:hint="eastAsia" w:ascii="仿宋_GB2312" w:hAnsi="宋体"/>
          <w:b/>
          <w:szCs w:val="28"/>
        </w:rPr>
        <w:t>（一）标准报批发布后，成立标准宣贯工作组</w:t>
      </w:r>
    </w:p>
    <w:p w14:paraId="4114D6D6">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31DA067B">
      <w:pPr>
        <w:spacing w:line="560" w:lineRule="exact"/>
        <w:ind w:firstLine="643"/>
        <w:rPr>
          <w:rFonts w:ascii="仿宋_GB2312" w:hAnsi="宋体"/>
          <w:b/>
          <w:szCs w:val="28"/>
        </w:rPr>
      </w:pPr>
      <w:r>
        <w:rPr>
          <w:rFonts w:hint="eastAsia" w:ascii="仿宋_GB2312" w:hAnsi="宋体"/>
          <w:b/>
          <w:szCs w:val="28"/>
        </w:rPr>
        <w:t>（二）组织开展标准宣贯培训</w:t>
      </w:r>
    </w:p>
    <w:p w14:paraId="3DE95C17">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0366740D">
      <w:pPr>
        <w:spacing w:line="560" w:lineRule="exact"/>
        <w:ind w:firstLine="643"/>
        <w:rPr>
          <w:rFonts w:ascii="仿宋_GB2312" w:hAnsi="宋体"/>
          <w:b/>
          <w:szCs w:val="28"/>
        </w:rPr>
      </w:pPr>
      <w:r>
        <w:rPr>
          <w:rFonts w:hint="eastAsia" w:ascii="仿宋_GB2312" w:hAnsi="宋体"/>
          <w:b/>
          <w:szCs w:val="28"/>
        </w:rPr>
        <w:t>（三）开展标准实施交流会，收集标准实施反馈信息</w:t>
      </w:r>
    </w:p>
    <w:p w14:paraId="5CBFC87F">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标准起草小组深入各市县相关机构、单位组织技术人员召开标准实施交流会，听取标准实施过程中存在的问题并做好记录和解答，对存在的问题组织专家团队进行研讨，为标准的复审修订做准备。</w:t>
      </w:r>
    </w:p>
    <w:p w14:paraId="1CB1BF6E">
      <w:pPr>
        <w:spacing w:line="560" w:lineRule="exact"/>
        <w:ind w:firstLine="643"/>
        <w:rPr>
          <w:rFonts w:ascii="仿宋_GB2312" w:hAnsi="宋体"/>
          <w:b/>
          <w:szCs w:val="28"/>
        </w:rPr>
      </w:pPr>
      <w:r>
        <w:rPr>
          <w:rFonts w:hint="eastAsia" w:ascii="仿宋_GB2312" w:hAnsi="宋体"/>
          <w:b/>
          <w:szCs w:val="28"/>
        </w:rPr>
        <w:t>（四）开展标准实施效果评估</w:t>
      </w:r>
    </w:p>
    <w:p w14:paraId="0515C0BD">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标准实施满2年，每年标准宣贯工作组采取网络调查、问卷调查、实地调研、召开座谈会或论证会、专家咨询等方式开展标准实施效果评估，并形成标准实施效果评估报告，为标准的复审修订做准备。</w:t>
      </w:r>
    </w:p>
    <w:p w14:paraId="6EF453DA">
      <w:pPr>
        <w:autoSpaceDE w:val="0"/>
        <w:autoSpaceDN w:val="0"/>
        <w:adjustRightInd w:val="0"/>
        <w:spacing w:line="560" w:lineRule="exact"/>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75C25F40">
      <w:pPr>
        <w:ind w:firstLine="640"/>
        <w:rPr>
          <w:rFonts w:hint="eastAsia" w:ascii="Times New Roman" w:hAnsi="Times New Roman" w:cs="Times New Roman" w:eastAsiaTheme="minorEastAsia"/>
          <w:sz w:val="30"/>
          <w:szCs w:val="30"/>
          <w:lang w:val="en-US" w:eastAsia="zh-CN"/>
        </w:rPr>
      </w:pPr>
      <w:r>
        <w:rPr>
          <w:rFonts w:hint="eastAsia" w:ascii="Times New Roman" w:hAnsi="Times New Roman" w:cs="Times New Roman" w:eastAsiaTheme="minorEastAsia"/>
          <w:sz w:val="30"/>
          <w:szCs w:val="30"/>
          <w:lang w:val="en-US" w:eastAsia="zh-CN"/>
        </w:rPr>
        <w:t>无。</w:t>
      </w:r>
    </w:p>
    <w:p w14:paraId="495BDB61">
      <w:pPr>
        <w:spacing w:line="560" w:lineRule="exact"/>
        <w:ind w:firstLine="0" w:firstLineChars="0"/>
        <w:rPr>
          <w:rFonts w:ascii="仿宋_GB2312" w:hAnsi="仿宋"/>
          <w:bCs/>
          <w:color w:val="000000"/>
          <w:sz w:val="36"/>
          <w:szCs w:val="32"/>
        </w:rPr>
      </w:pPr>
    </w:p>
    <w:p w14:paraId="0CA85897">
      <w:pPr>
        <w:spacing w:line="560" w:lineRule="exact"/>
        <w:ind w:firstLine="640"/>
        <w:jc w:val="right"/>
        <w:rPr>
          <w:rFonts w:ascii="仿宋_GB2312" w:hAnsi="宋体"/>
          <w:szCs w:val="28"/>
        </w:rPr>
      </w:pPr>
      <w:r>
        <w:rPr>
          <w:rFonts w:hint="eastAsia" w:ascii="仿宋_GB2312" w:hAnsi="宋体"/>
          <w:szCs w:val="28"/>
        </w:rPr>
        <w:t xml:space="preserve"> 团体标准《</w:t>
      </w:r>
      <w:r>
        <w:rPr>
          <w:rFonts w:hint="eastAsia" w:ascii="仿宋_GB2312" w:hAnsi="宋体"/>
          <w:szCs w:val="28"/>
          <w:lang w:val="en-US" w:eastAsia="zh-CN"/>
        </w:rPr>
        <w:t>竹笋产量测定方法</w:t>
      </w:r>
      <w:r>
        <w:rPr>
          <w:rFonts w:hint="eastAsia" w:ascii="仿宋_GB2312" w:hAnsi="宋体"/>
          <w:szCs w:val="28"/>
        </w:rPr>
        <w:t>》</w:t>
      </w:r>
    </w:p>
    <w:p w14:paraId="25EF64F2">
      <w:pPr>
        <w:spacing w:line="560" w:lineRule="exact"/>
        <w:ind w:firstLine="640"/>
        <w:jc w:val="right"/>
        <w:rPr>
          <w:rFonts w:ascii="仿宋_GB2312" w:hAnsi="宋体"/>
          <w:szCs w:val="28"/>
        </w:rPr>
      </w:pPr>
      <w:r>
        <w:rPr>
          <w:rFonts w:hint="eastAsia" w:ascii="仿宋_GB2312" w:hAnsi="宋体"/>
          <w:szCs w:val="28"/>
        </w:rPr>
        <w:t>标准编制工作组</w:t>
      </w:r>
    </w:p>
    <w:p w14:paraId="5F9D3017">
      <w:pPr>
        <w:spacing w:line="560" w:lineRule="exact"/>
        <w:ind w:firstLine="640"/>
        <w:jc w:val="right"/>
        <w:rPr>
          <w:rFonts w:ascii="仿宋_GB2312" w:hAnsi="宋体"/>
          <w:szCs w:val="28"/>
        </w:rPr>
      </w:pPr>
      <w:r>
        <w:rPr>
          <w:rFonts w:hint="eastAsia" w:ascii="仿宋_GB2312" w:hAnsi="宋体"/>
          <w:szCs w:val="28"/>
        </w:rPr>
        <w:t>2025年</w:t>
      </w:r>
      <w:r>
        <w:rPr>
          <w:rFonts w:hint="eastAsia" w:ascii="仿宋_GB2312" w:hAnsi="宋体"/>
          <w:szCs w:val="28"/>
          <w:lang w:val="en-US" w:eastAsia="zh-CN"/>
        </w:rPr>
        <w:t>6</w:t>
      </w:r>
      <w:r>
        <w:rPr>
          <w:rFonts w:hint="eastAsia" w:ascii="仿宋_GB2312" w:hAnsi="宋体"/>
          <w:szCs w:val="28"/>
        </w:rPr>
        <w:t>月</w:t>
      </w:r>
      <w:r>
        <w:rPr>
          <w:rFonts w:hint="eastAsia" w:ascii="仿宋_GB2312" w:hAnsi="宋体"/>
          <w:szCs w:val="28"/>
          <w:lang w:val="en-US" w:eastAsia="zh-CN"/>
        </w:rPr>
        <w:t>5</w:t>
      </w:r>
      <w:r>
        <w:rPr>
          <w:rFonts w:hint="eastAsia" w:ascii="仿宋_GB2312" w:hAnsi="宋体"/>
          <w:szCs w:val="28"/>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6E66FD71">
        <w:pPr>
          <w:pStyle w:val="5"/>
          <w:ind w:firstLine="360"/>
          <w:jc w:val="center"/>
        </w:pPr>
        <w:r>
          <w:fldChar w:fldCharType="begin"/>
        </w:r>
        <w:r>
          <w:instrText xml:space="preserve">PAGE   \* MERGEFORMAT</w:instrText>
        </w:r>
        <w:r>
          <w:fldChar w:fldCharType="separate"/>
        </w:r>
        <w:r>
          <w:rPr>
            <w:lang w:val="zh-CN"/>
          </w:rPr>
          <w:t>1</w:t>
        </w:r>
        <w:r>
          <w:fldChar w:fldCharType="end"/>
        </w:r>
      </w:p>
    </w:sdtContent>
  </w:sdt>
  <w:p w14:paraId="629A845D">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6507D">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63B08">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759B7">
    <w:pPr>
      <w:ind w:left="64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76AFE">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00798">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CE7D34"/>
    <w:multiLevelType w:val="multilevel"/>
    <w:tmpl w:val="BFCE7D34"/>
    <w:lvl w:ilvl="0" w:tentative="0">
      <w:start w:val="1"/>
      <w:numFmt w:val="upperLetter"/>
      <w:suff w:val="space"/>
      <w:lvlText w:val="%1"/>
      <w:lvlJc w:val="left"/>
      <w:pPr>
        <w:ind w:left="425" w:hanging="425"/>
      </w:pPr>
    </w:lvl>
    <w:lvl w:ilvl="1" w:tentative="0">
      <w:start w:val="1"/>
      <w:numFmt w:val="decimal"/>
      <w:pStyle w:val="51"/>
      <w:suff w:val="space"/>
      <w:lvlText w:val="表%1.%2"/>
      <w:lvlJc w:val="center"/>
      <w:pPr>
        <w:ind w:left="0" w:firstLine="0"/>
      </w:pPr>
      <w:rPr>
        <w:rFonts w:hint="eastAsia" w:ascii="黑体" w:hAnsi="Times New Roman" w:eastAsia="黑体" w:cs="黑体"/>
        <w:sz w:val="21"/>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5"/>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E09D9079"/>
    <w:multiLevelType w:val="multilevel"/>
    <w:tmpl w:val="E09D9079"/>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9"/>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E6F4C356"/>
    <w:multiLevelType w:val="multilevel"/>
    <w:tmpl w:val="E6F4C356"/>
    <w:lvl w:ilvl="0" w:tentative="0">
      <w:start w:val="1"/>
      <w:numFmt w:val="none"/>
      <w:pStyle w:val="52"/>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3">
    <w:nsid w:val="EC520B8A"/>
    <w:multiLevelType w:val="multilevel"/>
    <w:tmpl w:val="EC520B8A"/>
    <w:lvl w:ilvl="0" w:tentative="0">
      <w:start w:val="1"/>
      <w:numFmt w:val="none"/>
      <w:suff w:val="nothing"/>
      <w:lvlText w:val="%1"/>
      <w:lvlJc w:val="left"/>
      <w:pPr>
        <w:tabs>
          <w:tab w:val="left" w:pos="0"/>
        </w:tabs>
        <w:ind w:left="0" w:firstLine="0"/>
      </w:pPr>
      <w:rPr>
        <w:rFonts w:cs="Times New Roman"/>
      </w:rPr>
    </w:lvl>
    <w:lvl w:ilvl="1" w:tentative="0">
      <w:start w:val="1"/>
      <w:numFmt w:val="decimal"/>
      <w:suff w:val="nothing"/>
      <w:lvlText w:val="%1%2　"/>
      <w:lvlJc w:val="left"/>
      <w:pPr>
        <w:tabs>
          <w:tab w:val="left" w:pos="0"/>
        </w:tabs>
        <w:ind w:left="0" w:firstLine="0"/>
      </w:pPr>
      <w:rPr>
        <w:rFonts w:hint="eastAsia" w:ascii="黑体" w:hAnsi="Times New Roman" w:eastAsia="黑体" w:cs="Times New Roman"/>
        <w:b w:val="0"/>
        <w:i w:val="0"/>
        <w:sz w:val="21"/>
      </w:rPr>
    </w:lvl>
    <w:lvl w:ilvl="2" w:tentative="0">
      <w:start w:val="1"/>
      <w:numFmt w:val="decimal"/>
      <w:pStyle w:val="43"/>
      <w:suff w:val="nothing"/>
      <w:lvlText w:val="%1%2.%3　"/>
      <w:lvlJc w:val="left"/>
      <w:pPr>
        <w:tabs>
          <w:tab w:val="left" w:pos="0"/>
        </w:tabs>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tabs>
          <w:tab w:val="left" w:pos="0"/>
        </w:tabs>
        <w:ind w:left="0" w:firstLine="0"/>
      </w:pPr>
      <w:rPr>
        <w:rFonts w:hint="eastAsia" w:ascii="黑体" w:hAnsi="Times New Roman" w:eastAsia="黑体" w:cs="Times New Roman"/>
        <w:b w:val="0"/>
        <w:i w:val="0"/>
        <w:sz w:val="21"/>
      </w:rPr>
    </w:lvl>
    <w:lvl w:ilvl="4" w:tentative="0">
      <w:start w:val="1"/>
      <w:numFmt w:val="decimal"/>
      <w:suff w:val="nothing"/>
      <w:lvlText w:val="%1%2.%3.%4.%5　"/>
      <w:lvlJc w:val="left"/>
      <w:pPr>
        <w:tabs>
          <w:tab w:val="left" w:pos="0"/>
        </w:tabs>
        <w:ind w:left="0" w:firstLine="0"/>
      </w:pPr>
      <w:rPr>
        <w:rFonts w:hint="eastAsia" w:ascii="黑体" w:hAnsi="Times New Roman" w:eastAsia="黑体" w:cs="Times New Roman"/>
        <w:b w:val="0"/>
        <w:i w:val="0"/>
        <w:sz w:val="21"/>
      </w:rPr>
    </w:lvl>
    <w:lvl w:ilvl="5" w:tentative="0">
      <w:start w:val="1"/>
      <w:numFmt w:val="decimal"/>
      <w:suff w:val="nothing"/>
      <w:lvlText w:val="%1%2.%3.%4.%5.%6　"/>
      <w:lvlJc w:val="left"/>
      <w:pPr>
        <w:tabs>
          <w:tab w:val="left" w:pos="0"/>
        </w:tabs>
        <w:ind w:left="0" w:firstLine="0"/>
      </w:pPr>
      <w:rPr>
        <w:rFonts w:hint="eastAsia" w:ascii="黑体" w:hAnsi="Times New Roman" w:eastAsia="黑体" w:cs="Times New Roman"/>
        <w:b w:val="0"/>
        <w:i w:val="0"/>
        <w:sz w:val="21"/>
      </w:rPr>
    </w:lvl>
    <w:lvl w:ilvl="6" w:tentative="0">
      <w:start w:val="1"/>
      <w:numFmt w:val="decimal"/>
      <w:suff w:val="nothing"/>
      <w:lvlText w:val="%1%2.%3.%4.%5.%6.%7　"/>
      <w:lvlJc w:val="left"/>
      <w:pPr>
        <w:tabs>
          <w:tab w:val="left" w:pos="0"/>
        </w:tabs>
        <w:ind w:left="0" w:firstLine="0"/>
      </w:pPr>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72" w:hanging="1418"/>
      </w:pPr>
      <w:rPr>
        <w:rFonts w:cs="Times New Roman"/>
      </w:rPr>
    </w:lvl>
    <w:lvl w:ilvl="8" w:tentative="0">
      <w:start w:val="1"/>
      <w:numFmt w:val="decimal"/>
      <w:lvlText w:val="%1.%2.%3.%4.%5.%6.%7.%8.%9"/>
      <w:lvlJc w:val="left"/>
      <w:pPr>
        <w:tabs>
          <w:tab w:val="left" w:pos="4777"/>
        </w:tabs>
        <w:ind w:left="4677" w:hanging="1700"/>
      </w:pPr>
      <w:rPr>
        <w:rFonts w:cs="Times New Roman"/>
      </w:rPr>
    </w:lvl>
  </w:abstractNum>
  <w:abstractNum w:abstractNumId="4">
    <w:nsid w:val="079102AD"/>
    <w:multiLevelType w:val="multilevel"/>
    <w:tmpl w:val="079102AD"/>
    <w:lvl w:ilvl="0" w:tentative="0">
      <w:start w:val="1"/>
      <w:numFmt w:val="decimal"/>
      <w:pStyle w:val="25"/>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DDE2B46"/>
    <w:multiLevelType w:val="multilevel"/>
    <w:tmpl w:val="0DDE2B46"/>
    <w:lvl w:ilvl="0" w:tentative="0">
      <w:start w:val="1"/>
      <w:numFmt w:val="lowerLetter"/>
      <w:pStyle w:val="29"/>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9A288B3"/>
    <w:multiLevelType w:val="multilevel"/>
    <w:tmpl w:val="19A288B3"/>
    <w:lvl w:ilvl="0" w:tentative="0">
      <w:start w:val="1"/>
      <w:numFmt w:val="upperLetter"/>
      <w:suff w:val="nothing"/>
      <w:lvlText w:val="附录%1"/>
      <w:lvlJc w:val="left"/>
      <w:pPr>
        <w:ind w:left="0" w:firstLine="0"/>
      </w:pPr>
      <w:rPr>
        <w:spacing w:val="100"/>
      </w:rPr>
    </w:lvl>
    <w:lvl w:ilvl="1" w:tentative="0">
      <w:start w:val="1"/>
      <w:numFmt w:val="decimal"/>
      <w:pStyle w:val="50"/>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1DBF583A"/>
    <w:multiLevelType w:val="multilevel"/>
    <w:tmpl w:val="1DBF583A"/>
    <w:lvl w:ilvl="0" w:tentative="0">
      <w:start w:val="1"/>
      <w:numFmt w:val="decimal"/>
      <w:pStyle w:val="2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8">
    <w:nsid w:val="1FC91163"/>
    <w:multiLevelType w:val="multilevel"/>
    <w:tmpl w:val="1FC91163"/>
    <w:lvl w:ilvl="0" w:tentative="0">
      <w:start w:val="1"/>
      <w:numFmt w:val="decimal"/>
      <w:pStyle w:val="2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2A8F7113"/>
    <w:multiLevelType w:val="multilevel"/>
    <w:tmpl w:val="2A8F7113"/>
    <w:lvl w:ilvl="0" w:tentative="0">
      <w:start w:val="1"/>
      <w:numFmt w:val="upperLetter"/>
      <w:pStyle w:val="26"/>
      <w:suff w:val="space"/>
      <w:lvlText w:val="%1"/>
      <w:lvlJc w:val="left"/>
      <w:pPr>
        <w:ind w:left="623" w:hanging="425"/>
      </w:pPr>
      <w:rPr>
        <w:rFonts w:hint="eastAsia"/>
      </w:rPr>
    </w:lvl>
    <w:lvl w:ilvl="1" w:tentative="0">
      <w:start w:val="1"/>
      <w:numFmt w:val="decimal"/>
      <w:pStyle w:val="27"/>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0">
    <w:nsid w:val="34FD0FF7"/>
    <w:multiLevelType w:val="multilevel"/>
    <w:tmpl w:val="34FD0FF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46"/>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1">
    <w:nsid w:val="557C2AF5"/>
    <w:multiLevelType w:val="multilevel"/>
    <w:tmpl w:val="557C2AF5"/>
    <w:lvl w:ilvl="0" w:tentative="0">
      <w:start w:val="1"/>
      <w:numFmt w:val="decimal"/>
      <w:pStyle w:val="1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564ACA30"/>
    <w:multiLevelType w:val="singleLevel"/>
    <w:tmpl w:val="564ACA30"/>
    <w:lvl w:ilvl="0" w:tentative="0">
      <w:start w:val="2"/>
      <w:numFmt w:val="chineseCounting"/>
      <w:suff w:val="nothing"/>
      <w:lvlText w:val="（%1）"/>
      <w:lvlJc w:val="left"/>
      <w:rPr>
        <w:rFonts w:hint="eastAsia"/>
      </w:rPr>
    </w:lvl>
  </w:abstractNum>
  <w:abstractNum w:abstractNumId="13">
    <w:nsid w:val="5B36EB98"/>
    <w:multiLevelType w:val="multilevel"/>
    <w:tmpl w:val="5B36EB98"/>
    <w:lvl w:ilvl="0" w:tentative="0">
      <w:start w:val="1"/>
      <w:numFmt w:val="none"/>
      <w:pStyle w:val="47"/>
      <w:lvlText w:val="%1——"/>
      <w:lvlJc w:val="left"/>
      <w:pPr>
        <w:tabs>
          <w:tab w:val="left" w:pos="851"/>
        </w:tabs>
        <w:ind w:left="851" w:hanging="426"/>
      </w:pPr>
      <w:rPr>
        <w:rFonts w:hint="eastAsia" w:ascii="宋体" w:hAnsi="Times New Roman" w:eastAsia="宋体" w:cs="宋体"/>
        <w:b w:val="0"/>
        <w:i w:val="0"/>
        <w:sz w:val="21"/>
      </w:rPr>
    </w:lvl>
    <w:lvl w:ilvl="1" w:tentative="0">
      <w:start w:val="1"/>
      <w:numFmt w:val="none"/>
      <w:lvlText w:val=""/>
      <w:lvlJc w:val="left"/>
      <w:pPr>
        <w:ind w:left="851" w:hanging="431"/>
      </w:pPr>
      <w:rPr>
        <w:rFonts w:ascii="Symbol" w:hAnsi="Symbol" w:cs="Symbol"/>
        <w:sz w:val="21"/>
      </w:rPr>
    </w:lvl>
    <w:lvl w:ilvl="2" w:tentative="0">
      <w:start w:val="1"/>
      <w:numFmt w:val="bullet"/>
      <w:lvlText w:val=""/>
      <w:lvlJc w:val="left"/>
      <w:pPr>
        <w:ind w:left="851" w:hanging="426"/>
      </w:pPr>
      <w:rPr>
        <w:rFonts w:hint="default" w:ascii="Wingdings" w:hAnsi="Wingdings" w:cs="Wingdings"/>
        <w:sz w:val="21"/>
      </w:rPr>
    </w:lvl>
    <w:lvl w:ilvl="3" w:tentative="0">
      <w:start w:val="1"/>
      <w:numFmt w:val="decimal"/>
      <w:lvlText w:val="%4."/>
      <w:lvlJc w:val="left"/>
      <w:pPr>
        <w:tabs>
          <w:tab w:val="left" w:pos="2071"/>
        </w:tabs>
        <w:ind w:left="1884" w:hanging="528"/>
      </w:pPr>
    </w:lvl>
    <w:lvl w:ilvl="4" w:tentative="0">
      <w:start w:val="1"/>
      <w:numFmt w:val="lowerLetter"/>
      <w:lvlText w:val="%5)"/>
      <w:lvlJc w:val="left"/>
      <w:pPr>
        <w:tabs>
          <w:tab w:val="left" w:pos="2383"/>
        </w:tabs>
        <w:ind w:left="2196" w:hanging="528"/>
      </w:pPr>
    </w:lvl>
    <w:lvl w:ilvl="5" w:tentative="0">
      <w:start w:val="1"/>
      <w:numFmt w:val="lowerRoman"/>
      <w:lvlText w:val="%6."/>
      <w:lvlJc w:val="right"/>
      <w:pPr>
        <w:tabs>
          <w:tab w:val="left" w:pos="2695"/>
        </w:tabs>
        <w:ind w:left="2508" w:hanging="528"/>
      </w:pPr>
    </w:lvl>
    <w:lvl w:ilvl="6" w:tentative="0">
      <w:start w:val="1"/>
      <w:numFmt w:val="decimal"/>
      <w:lvlText w:val="%7."/>
      <w:lvlJc w:val="left"/>
      <w:pPr>
        <w:tabs>
          <w:tab w:val="left" w:pos="3007"/>
        </w:tabs>
        <w:ind w:left="2820" w:hanging="528"/>
      </w:pPr>
    </w:lvl>
    <w:lvl w:ilvl="7" w:tentative="0">
      <w:start w:val="1"/>
      <w:numFmt w:val="lowerLetter"/>
      <w:lvlText w:val="%8)"/>
      <w:lvlJc w:val="left"/>
      <w:pPr>
        <w:tabs>
          <w:tab w:val="left" w:pos="3319"/>
        </w:tabs>
        <w:ind w:left="3132" w:hanging="528"/>
      </w:pPr>
    </w:lvl>
    <w:lvl w:ilvl="8" w:tentative="0">
      <w:start w:val="1"/>
      <w:numFmt w:val="lowerRoman"/>
      <w:lvlText w:val="%9."/>
      <w:lvlJc w:val="right"/>
      <w:pPr>
        <w:tabs>
          <w:tab w:val="left" w:pos="3631"/>
        </w:tabs>
        <w:ind w:left="3444" w:hanging="528"/>
      </w:pPr>
    </w:lvl>
  </w:abstractNum>
  <w:abstractNum w:abstractNumId="14">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7"/>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5"/>
      <w:suff w:val="nothing"/>
      <w:lvlText w:val="%1%2　"/>
      <w:lvlJc w:val="left"/>
      <w:pPr>
        <w:ind w:left="0" w:firstLine="0"/>
      </w:pPr>
      <w:rPr>
        <w:rFonts w:hint="eastAsia" w:ascii="黑体" w:eastAsia="黑体"/>
        <w:b w:val="0"/>
        <w:i w:val="0"/>
        <w:sz w:val="21"/>
      </w:rPr>
    </w:lvl>
    <w:lvl w:ilvl="2" w:tentative="0">
      <w:start w:val="1"/>
      <w:numFmt w:val="decimal"/>
      <w:pStyle w:val="44"/>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5"/>
  </w:num>
  <w:num w:numId="2">
    <w:abstractNumId w:val="11"/>
  </w:num>
  <w:num w:numId="3">
    <w:abstractNumId w:val="8"/>
  </w:num>
  <w:num w:numId="4">
    <w:abstractNumId w:val="4"/>
  </w:num>
  <w:num w:numId="5">
    <w:abstractNumId w:val="9"/>
  </w:num>
  <w:num w:numId="6">
    <w:abstractNumId w:val="7"/>
  </w:num>
  <w:num w:numId="7">
    <w:abstractNumId w:val="5"/>
  </w:num>
  <w:num w:numId="8">
    <w:abstractNumId w:val="14"/>
  </w:num>
  <w:num w:numId="9">
    <w:abstractNumId w:val="3"/>
  </w:num>
  <w:num w:numId="10">
    <w:abstractNumId w:val="16"/>
  </w:num>
  <w:num w:numId="11">
    <w:abstractNumId w:val="10"/>
  </w:num>
  <w:num w:numId="12">
    <w:abstractNumId w:val="13"/>
  </w:num>
  <w:num w:numId="13">
    <w:abstractNumId w:val="1"/>
  </w:num>
  <w:num w:numId="14">
    <w:abstractNumId w:val="6"/>
  </w:num>
  <w:num w:numId="15">
    <w:abstractNumId w:val="0"/>
  </w:num>
  <w:num w:numId="16">
    <w:abstractNumId w:val="2"/>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107BC"/>
    <w:rsid w:val="00013090"/>
    <w:rsid w:val="00016837"/>
    <w:rsid w:val="00021331"/>
    <w:rsid w:val="00023119"/>
    <w:rsid w:val="00023FE2"/>
    <w:rsid w:val="00024212"/>
    <w:rsid w:val="00024664"/>
    <w:rsid w:val="00032CD6"/>
    <w:rsid w:val="00033257"/>
    <w:rsid w:val="00034233"/>
    <w:rsid w:val="00034BDB"/>
    <w:rsid w:val="00047D7B"/>
    <w:rsid w:val="000507EF"/>
    <w:rsid w:val="00053B0B"/>
    <w:rsid w:val="00056C7D"/>
    <w:rsid w:val="000576D0"/>
    <w:rsid w:val="00057758"/>
    <w:rsid w:val="00060FE2"/>
    <w:rsid w:val="0007210E"/>
    <w:rsid w:val="0007330D"/>
    <w:rsid w:val="00073F72"/>
    <w:rsid w:val="00074EB1"/>
    <w:rsid w:val="00076BBA"/>
    <w:rsid w:val="00080F2F"/>
    <w:rsid w:val="0008145A"/>
    <w:rsid w:val="0009177A"/>
    <w:rsid w:val="0009191C"/>
    <w:rsid w:val="00093E74"/>
    <w:rsid w:val="000962F6"/>
    <w:rsid w:val="000A0201"/>
    <w:rsid w:val="000A1EAE"/>
    <w:rsid w:val="000A3070"/>
    <w:rsid w:val="000A4601"/>
    <w:rsid w:val="000A77CD"/>
    <w:rsid w:val="000B572A"/>
    <w:rsid w:val="000D0ACE"/>
    <w:rsid w:val="000D15BE"/>
    <w:rsid w:val="000D5723"/>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4F56"/>
    <w:rsid w:val="00126CA6"/>
    <w:rsid w:val="001273E7"/>
    <w:rsid w:val="00127EB0"/>
    <w:rsid w:val="00131B03"/>
    <w:rsid w:val="00132C5F"/>
    <w:rsid w:val="00133786"/>
    <w:rsid w:val="00134DD4"/>
    <w:rsid w:val="001435D3"/>
    <w:rsid w:val="001449B5"/>
    <w:rsid w:val="001463AC"/>
    <w:rsid w:val="00151076"/>
    <w:rsid w:val="0015152A"/>
    <w:rsid w:val="00156020"/>
    <w:rsid w:val="00156663"/>
    <w:rsid w:val="00156D95"/>
    <w:rsid w:val="001611BB"/>
    <w:rsid w:val="001643C8"/>
    <w:rsid w:val="00166B4E"/>
    <w:rsid w:val="00167167"/>
    <w:rsid w:val="001708F8"/>
    <w:rsid w:val="0018112C"/>
    <w:rsid w:val="00183467"/>
    <w:rsid w:val="0018451D"/>
    <w:rsid w:val="00190A64"/>
    <w:rsid w:val="00190C6A"/>
    <w:rsid w:val="00191774"/>
    <w:rsid w:val="00191DCE"/>
    <w:rsid w:val="001923CF"/>
    <w:rsid w:val="001925FD"/>
    <w:rsid w:val="00192FF7"/>
    <w:rsid w:val="001930A1"/>
    <w:rsid w:val="00194FE3"/>
    <w:rsid w:val="00196054"/>
    <w:rsid w:val="0019711F"/>
    <w:rsid w:val="001A0DBF"/>
    <w:rsid w:val="001A3402"/>
    <w:rsid w:val="001A417B"/>
    <w:rsid w:val="001B0E92"/>
    <w:rsid w:val="001B36E5"/>
    <w:rsid w:val="001B3B17"/>
    <w:rsid w:val="001C2697"/>
    <w:rsid w:val="001C5F01"/>
    <w:rsid w:val="001C793C"/>
    <w:rsid w:val="001D22F0"/>
    <w:rsid w:val="001D64DB"/>
    <w:rsid w:val="001D7816"/>
    <w:rsid w:val="001E5000"/>
    <w:rsid w:val="001E5ECB"/>
    <w:rsid w:val="001F07A8"/>
    <w:rsid w:val="001F16E6"/>
    <w:rsid w:val="001F241E"/>
    <w:rsid w:val="001F537A"/>
    <w:rsid w:val="001F660A"/>
    <w:rsid w:val="001F79F5"/>
    <w:rsid w:val="001F7E35"/>
    <w:rsid w:val="00205603"/>
    <w:rsid w:val="00210916"/>
    <w:rsid w:val="00210A6C"/>
    <w:rsid w:val="002116FB"/>
    <w:rsid w:val="00214221"/>
    <w:rsid w:val="00217683"/>
    <w:rsid w:val="002223DD"/>
    <w:rsid w:val="002231E8"/>
    <w:rsid w:val="00223EB7"/>
    <w:rsid w:val="00224EB8"/>
    <w:rsid w:val="00231E62"/>
    <w:rsid w:val="00232769"/>
    <w:rsid w:val="00244ADA"/>
    <w:rsid w:val="00244C0C"/>
    <w:rsid w:val="002465C7"/>
    <w:rsid w:val="002526F3"/>
    <w:rsid w:val="00254F7A"/>
    <w:rsid w:val="002567B7"/>
    <w:rsid w:val="00256FE0"/>
    <w:rsid w:val="002614C6"/>
    <w:rsid w:val="002621E1"/>
    <w:rsid w:val="00262753"/>
    <w:rsid w:val="00262771"/>
    <w:rsid w:val="00262F6C"/>
    <w:rsid w:val="00264A7D"/>
    <w:rsid w:val="00264CE4"/>
    <w:rsid w:val="002651A9"/>
    <w:rsid w:val="00266090"/>
    <w:rsid w:val="0027235B"/>
    <w:rsid w:val="00277C35"/>
    <w:rsid w:val="00283085"/>
    <w:rsid w:val="00283E25"/>
    <w:rsid w:val="002869F1"/>
    <w:rsid w:val="0029084D"/>
    <w:rsid w:val="00291D7F"/>
    <w:rsid w:val="00291EF3"/>
    <w:rsid w:val="002952AC"/>
    <w:rsid w:val="002A2FCF"/>
    <w:rsid w:val="002A4D06"/>
    <w:rsid w:val="002A5D80"/>
    <w:rsid w:val="002B07E3"/>
    <w:rsid w:val="002B23AB"/>
    <w:rsid w:val="002B2E35"/>
    <w:rsid w:val="002B3D69"/>
    <w:rsid w:val="002B5497"/>
    <w:rsid w:val="002C1D2A"/>
    <w:rsid w:val="002C4618"/>
    <w:rsid w:val="002C4FFB"/>
    <w:rsid w:val="002C5534"/>
    <w:rsid w:val="002C611B"/>
    <w:rsid w:val="002C73B6"/>
    <w:rsid w:val="002D20D8"/>
    <w:rsid w:val="002D2662"/>
    <w:rsid w:val="002D49CC"/>
    <w:rsid w:val="002D6D1E"/>
    <w:rsid w:val="002E073F"/>
    <w:rsid w:val="002E11BB"/>
    <w:rsid w:val="002E7467"/>
    <w:rsid w:val="002E7A35"/>
    <w:rsid w:val="002F0538"/>
    <w:rsid w:val="002F34AA"/>
    <w:rsid w:val="002F4B59"/>
    <w:rsid w:val="002F4D7B"/>
    <w:rsid w:val="002F513F"/>
    <w:rsid w:val="002F613B"/>
    <w:rsid w:val="00302386"/>
    <w:rsid w:val="003025DF"/>
    <w:rsid w:val="00303E23"/>
    <w:rsid w:val="00304BFD"/>
    <w:rsid w:val="00306925"/>
    <w:rsid w:val="0030702B"/>
    <w:rsid w:val="0031011D"/>
    <w:rsid w:val="00311257"/>
    <w:rsid w:val="00311AEE"/>
    <w:rsid w:val="003144B8"/>
    <w:rsid w:val="00314640"/>
    <w:rsid w:val="00327623"/>
    <w:rsid w:val="0033375C"/>
    <w:rsid w:val="003372F9"/>
    <w:rsid w:val="0034090F"/>
    <w:rsid w:val="00343C24"/>
    <w:rsid w:val="00345BCC"/>
    <w:rsid w:val="00352D8D"/>
    <w:rsid w:val="00353735"/>
    <w:rsid w:val="00354D06"/>
    <w:rsid w:val="00356D19"/>
    <w:rsid w:val="00357A1D"/>
    <w:rsid w:val="00357E18"/>
    <w:rsid w:val="0036001E"/>
    <w:rsid w:val="00360952"/>
    <w:rsid w:val="003620B6"/>
    <w:rsid w:val="00362F10"/>
    <w:rsid w:val="00365252"/>
    <w:rsid w:val="00372A01"/>
    <w:rsid w:val="00372C98"/>
    <w:rsid w:val="00373BAD"/>
    <w:rsid w:val="00374390"/>
    <w:rsid w:val="003754CF"/>
    <w:rsid w:val="00381796"/>
    <w:rsid w:val="00382AB2"/>
    <w:rsid w:val="00386647"/>
    <w:rsid w:val="00391984"/>
    <w:rsid w:val="00392E22"/>
    <w:rsid w:val="00396025"/>
    <w:rsid w:val="003A1AA7"/>
    <w:rsid w:val="003A5469"/>
    <w:rsid w:val="003B2F32"/>
    <w:rsid w:val="003B3199"/>
    <w:rsid w:val="003B5050"/>
    <w:rsid w:val="003B729F"/>
    <w:rsid w:val="003C2C74"/>
    <w:rsid w:val="003C2D44"/>
    <w:rsid w:val="003C483D"/>
    <w:rsid w:val="003D0916"/>
    <w:rsid w:val="003D3AF0"/>
    <w:rsid w:val="003D48B6"/>
    <w:rsid w:val="003D51D0"/>
    <w:rsid w:val="003D5CB5"/>
    <w:rsid w:val="003D6E58"/>
    <w:rsid w:val="003E330B"/>
    <w:rsid w:val="003E3E93"/>
    <w:rsid w:val="003E4A86"/>
    <w:rsid w:val="003F284D"/>
    <w:rsid w:val="003F28D0"/>
    <w:rsid w:val="003F3119"/>
    <w:rsid w:val="003F392A"/>
    <w:rsid w:val="003F3AAC"/>
    <w:rsid w:val="003F727B"/>
    <w:rsid w:val="0040035D"/>
    <w:rsid w:val="00400AA2"/>
    <w:rsid w:val="00403F64"/>
    <w:rsid w:val="00404BD1"/>
    <w:rsid w:val="004050BE"/>
    <w:rsid w:val="0040610D"/>
    <w:rsid w:val="00406A80"/>
    <w:rsid w:val="00415729"/>
    <w:rsid w:val="0042062E"/>
    <w:rsid w:val="00424AF1"/>
    <w:rsid w:val="00424FCB"/>
    <w:rsid w:val="00425860"/>
    <w:rsid w:val="00427B81"/>
    <w:rsid w:val="00431F6E"/>
    <w:rsid w:val="00434E46"/>
    <w:rsid w:val="00434F90"/>
    <w:rsid w:val="004378E4"/>
    <w:rsid w:val="0044118D"/>
    <w:rsid w:val="004441BD"/>
    <w:rsid w:val="004503F4"/>
    <w:rsid w:val="0045483D"/>
    <w:rsid w:val="00455661"/>
    <w:rsid w:val="0046025A"/>
    <w:rsid w:val="00460359"/>
    <w:rsid w:val="004605D8"/>
    <w:rsid w:val="004626AF"/>
    <w:rsid w:val="00462BA6"/>
    <w:rsid w:val="00465230"/>
    <w:rsid w:val="00467DEF"/>
    <w:rsid w:val="004715D8"/>
    <w:rsid w:val="00475C51"/>
    <w:rsid w:val="00475D64"/>
    <w:rsid w:val="004805D0"/>
    <w:rsid w:val="00480BA1"/>
    <w:rsid w:val="00481328"/>
    <w:rsid w:val="004814A9"/>
    <w:rsid w:val="0048357F"/>
    <w:rsid w:val="00484EF3"/>
    <w:rsid w:val="00485212"/>
    <w:rsid w:val="004862DC"/>
    <w:rsid w:val="004865C9"/>
    <w:rsid w:val="0049011A"/>
    <w:rsid w:val="00491FE3"/>
    <w:rsid w:val="0049241F"/>
    <w:rsid w:val="0049390C"/>
    <w:rsid w:val="004A25C4"/>
    <w:rsid w:val="004A2878"/>
    <w:rsid w:val="004A614E"/>
    <w:rsid w:val="004A660C"/>
    <w:rsid w:val="004A76AB"/>
    <w:rsid w:val="004B2E7F"/>
    <w:rsid w:val="004B31EC"/>
    <w:rsid w:val="004C4136"/>
    <w:rsid w:val="004D155D"/>
    <w:rsid w:val="004D2302"/>
    <w:rsid w:val="004D393C"/>
    <w:rsid w:val="004D5B22"/>
    <w:rsid w:val="004E3026"/>
    <w:rsid w:val="004F0593"/>
    <w:rsid w:val="004F48C2"/>
    <w:rsid w:val="004F74F0"/>
    <w:rsid w:val="004F7FA9"/>
    <w:rsid w:val="005009D1"/>
    <w:rsid w:val="00500F84"/>
    <w:rsid w:val="0050156A"/>
    <w:rsid w:val="00501B04"/>
    <w:rsid w:val="00505469"/>
    <w:rsid w:val="005066ED"/>
    <w:rsid w:val="005067C2"/>
    <w:rsid w:val="0051028F"/>
    <w:rsid w:val="0051148B"/>
    <w:rsid w:val="00513080"/>
    <w:rsid w:val="00514C97"/>
    <w:rsid w:val="005159F5"/>
    <w:rsid w:val="00516AFA"/>
    <w:rsid w:val="00516F87"/>
    <w:rsid w:val="005235FD"/>
    <w:rsid w:val="00526200"/>
    <w:rsid w:val="005269CF"/>
    <w:rsid w:val="00533886"/>
    <w:rsid w:val="0053418A"/>
    <w:rsid w:val="00534A91"/>
    <w:rsid w:val="00535AC6"/>
    <w:rsid w:val="00537550"/>
    <w:rsid w:val="00541E4A"/>
    <w:rsid w:val="0054317B"/>
    <w:rsid w:val="00546DEA"/>
    <w:rsid w:val="00550145"/>
    <w:rsid w:val="005639F8"/>
    <w:rsid w:val="005656AA"/>
    <w:rsid w:val="005742DB"/>
    <w:rsid w:val="00577C08"/>
    <w:rsid w:val="005802BD"/>
    <w:rsid w:val="0058151C"/>
    <w:rsid w:val="00581CE7"/>
    <w:rsid w:val="00582F5C"/>
    <w:rsid w:val="0058472C"/>
    <w:rsid w:val="00584920"/>
    <w:rsid w:val="005855A6"/>
    <w:rsid w:val="005870E5"/>
    <w:rsid w:val="005873D6"/>
    <w:rsid w:val="005876DE"/>
    <w:rsid w:val="00593466"/>
    <w:rsid w:val="00596702"/>
    <w:rsid w:val="005977DE"/>
    <w:rsid w:val="005A1A17"/>
    <w:rsid w:val="005A4523"/>
    <w:rsid w:val="005A4707"/>
    <w:rsid w:val="005B0CDC"/>
    <w:rsid w:val="005B2261"/>
    <w:rsid w:val="005B23F7"/>
    <w:rsid w:val="005B7128"/>
    <w:rsid w:val="005B76D5"/>
    <w:rsid w:val="005B7B7E"/>
    <w:rsid w:val="005C468E"/>
    <w:rsid w:val="005D06D6"/>
    <w:rsid w:val="005D1EE1"/>
    <w:rsid w:val="005D2762"/>
    <w:rsid w:val="005D2AEE"/>
    <w:rsid w:val="005D33C7"/>
    <w:rsid w:val="005D3F96"/>
    <w:rsid w:val="005D5DDF"/>
    <w:rsid w:val="005D6A5C"/>
    <w:rsid w:val="005E05D4"/>
    <w:rsid w:val="005E207A"/>
    <w:rsid w:val="005E2143"/>
    <w:rsid w:val="005E2C73"/>
    <w:rsid w:val="005F0995"/>
    <w:rsid w:val="005F1E35"/>
    <w:rsid w:val="005F36D9"/>
    <w:rsid w:val="005F4F92"/>
    <w:rsid w:val="005F6C71"/>
    <w:rsid w:val="005F71EC"/>
    <w:rsid w:val="005F7613"/>
    <w:rsid w:val="006038B2"/>
    <w:rsid w:val="006062AE"/>
    <w:rsid w:val="0060656D"/>
    <w:rsid w:val="00606B5A"/>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2092"/>
    <w:rsid w:val="006B6EA3"/>
    <w:rsid w:val="006C0CC1"/>
    <w:rsid w:val="006C6B87"/>
    <w:rsid w:val="006C70ED"/>
    <w:rsid w:val="006D0354"/>
    <w:rsid w:val="006D4B56"/>
    <w:rsid w:val="006D4CCC"/>
    <w:rsid w:val="006D50EC"/>
    <w:rsid w:val="006D5788"/>
    <w:rsid w:val="006D5D5F"/>
    <w:rsid w:val="006E155C"/>
    <w:rsid w:val="006E65EC"/>
    <w:rsid w:val="006E7520"/>
    <w:rsid w:val="006F03ED"/>
    <w:rsid w:val="006F67E6"/>
    <w:rsid w:val="006F77F7"/>
    <w:rsid w:val="00700D32"/>
    <w:rsid w:val="0070138D"/>
    <w:rsid w:val="00701A2B"/>
    <w:rsid w:val="0070266E"/>
    <w:rsid w:val="00705429"/>
    <w:rsid w:val="00705F4C"/>
    <w:rsid w:val="0070730B"/>
    <w:rsid w:val="00712BC5"/>
    <w:rsid w:val="00715CA4"/>
    <w:rsid w:val="00716EAC"/>
    <w:rsid w:val="00720395"/>
    <w:rsid w:val="00722AAE"/>
    <w:rsid w:val="0072334C"/>
    <w:rsid w:val="0072448B"/>
    <w:rsid w:val="007245EF"/>
    <w:rsid w:val="00726016"/>
    <w:rsid w:val="00726F82"/>
    <w:rsid w:val="00735B90"/>
    <w:rsid w:val="007432F4"/>
    <w:rsid w:val="0075401E"/>
    <w:rsid w:val="00755471"/>
    <w:rsid w:val="007556A8"/>
    <w:rsid w:val="00756686"/>
    <w:rsid w:val="00760DDA"/>
    <w:rsid w:val="00760FBD"/>
    <w:rsid w:val="00774780"/>
    <w:rsid w:val="007768A2"/>
    <w:rsid w:val="00776FE6"/>
    <w:rsid w:val="00780A61"/>
    <w:rsid w:val="007812EA"/>
    <w:rsid w:val="00781F1A"/>
    <w:rsid w:val="00782C84"/>
    <w:rsid w:val="00784D8F"/>
    <w:rsid w:val="007912E9"/>
    <w:rsid w:val="007923BD"/>
    <w:rsid w:val="00793046"/>
    <w:rsid w:val="00793820"/>
    <w:rsid w:val="00794DE3"/>
    <w:rsid w:val="00797654"/>
    <w:rsid w:val="00797B14"/>
    <w:rsid w:val="007A022B"/>
    <w:rsid w:val="007A1A73"/>
    <w:rsid w:val="007A36E9"/>
    <w:rsid w:val="007A3971"/>
    <w:rsid w:val="007A40E0"/>
    <w:rsid w:val="007A4FEA"/>
    <w:rsid w:val="007A5B26"/>
    <w:rsid w:val="007A710B"/>
    <w:rsid w:val="007B0B70"/>
    <w:rsid w:val="007B317A"/>
    <w:rsid w:val="007B4614"/>
    <w:rsid w:val="007B7812"/>
    <w:rsid w:val="007C11E0"/>
    <w:rsid w:val="007C3308"/>
    <w:rsid w:val="007C4C1F"/>
    <w:rsid w:val="007D1773"/>
    <w:rsid w:val="007D3096"/>
    <w:rsid w:val="007D4356"/>
    <w:rsid w:val="007D4FCA"/>
    <w:rsid w:val="007D520B"/>
    <w:rsid w:val="007D5225"/>
    <w:rsid w:val="007D6192"/>
    <w:rsid w:val="007D646F"/>
    <w:rsid w:val="007E0035"/>
    <w:rsid w:val="007F05BA"/>
    <w:rsid w:val="007F1688"/>
    <w:rsid w:val="007F17C2"/>
    <w:rsid w:val="007F3051"/>
    <w:rsid w:val="007F445F"/>
    <w:rsid w:val="007F69C4"/>
    <w:rsid w:val="00800158"/>
    <w:rsid w:val="00800C49"/>
    <w:rsid w:val="008019FB"/>
    <w:rsid w:val="00805B1A"/>
    <w:rsid w:val="00812666"/>
    <w:rsid w:val="00816354"/>
    <w:rsid w:val="00825BEF"/>
    <w:rsid w:val="00826AFA"/>
    <w:rsid w:val="008275DE"/>
    <w:rsid w:val="0083025F"/>
    <w:rsid w:val="00831A4E"/>
    <w:rsid w:val="00834158"/>
    <w:rsid w:val="00834F29"/>
    <w:rsid w:val="00837133"/>
    <w:rsid w:val="00841FDD"/>
    <w:rsid w:val="00843099"/>
    <w:rsid w:val="00844A63"/>
    <w:rsid w:val="00845B6B"/>
    <w:rsid w:val="0085555C"/>
    <w:rsid w:val="0085722C"/>
    <w:rsid w:val="00860076"/>
    <w:rsid w:val="00864B42"/>
    <w:rsid w:val="00864EDC"/>
    <w:rsid w:val="008717FD"/>
    <w:rsid w:val="00872085"/>
    <w:rsid w:val="0087311E"/>
    <w:rsid w:val="008766A7"/>
    <w:rsid w:val="0088023F"/>
    <w:rsid w:val="00884AB2"/>
    <w:rsid w:val="008853E8"/>
    <w:rsid w:val="00890B67"/>
    <w:rsid w:val="00893361"/>
    <w:rsid w:val="00893A8E"/>
    <w:rsid w:val="00893CE3"/>
    <w:rsid w:val="008941F8"/>
    <w:rsid w:val="008942A7"/>
    <w:rsid w:val="0089639E"/>
    <w:rsid w:val="0089684C"/>
    <w:rsid w:val="008A328F"/>
    <w:rsid w:val="008A42EB"/>
    <w:rsid w:val="008A4E58"/>
    <w:rsid w:val="008A5709"/>
    <w:rsid w:val="008B1A6F"/>
    <w:rsid w:val="008B35DA"/>
    <w:rsid w:val="008B6562"/>
    <w:rsid w:val="008B7C56"/>
    <w:rsid w:val="008C1BE0"/>
    <w:rsid w:val="008C3E3C"/>
    <w:rsid w:val="008C5328"/>
    <w:rsid w:val="008C6844"/>
    <w:rsid w:val="008D1502"/>
    <w:rsid w:val="008D2E6B"/>
    <w:rsid w:val="008D3059"/>
    <w:rsid w:val="008D44E2"/>
    <w:rsid w:val="008D5C1F"/>
    <w:rsid w:val="008D612C"/>
    <w:rsid w:val="008E0C90"/>
    <w:rsid w:val="008E340A"/>
    <w:rsid w:val="008E71FB"/>
    <w:rsid w:val="008F024A"/>
    <w:rsid w:val="008F4CD3"/>
    <w:rsid w:val="008F62FB"/>
    <w:rsid w:val="00900B1D"/>
    <w:rsid w:val="00901C67"/>
    <w:rsid w:val="009058DF"/>
    <w:rsid w:val="00910D7C"/>
    <w:rsid w:val="00910E34"/>
    <w:rsid w:val="00911CE5"/>
    <w:rsid w:val="009133CD"/>
    <w:rsid w:val="0091490C"/>
    <w:rsid w:val="009204DB"/>
    <w:rsid w:val="009206E4"/>
    <w:rsid w:val="0092128F"/>
    <w:rsid w:val="00922063"/>
    <w:rsid w:val="009220D3"/>
    <w:rsid w:val="009226F2"/>
    <w:rsid w:val="00923A1D"/>
    <w:rsid w:val="00926314"/>
    <w:rsid w:val="00930317"/>
    <w:rsid w:val="00932902"/>
    <w:rsid w:val="00933333"/>
    <w:rsid w:val="0093364F"/>
    <w:rsid w:val="009337BC"/>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8F3"/>
    <w:rsid w:val="00987A4E"/>
    <w:rsid w:val="00987C57"/>
    <w:rsid w:val="0099188F"/>
    <w:rsid w:val="009926D7"/>
    <w:rsid w:val="00993328"/>
    <w:rsid w:val="00995822"/>
    <w:rsid w:val="00997A44"/>
    <w:rsid w:val="009A1FC7"/>
    <w:rsid w:val="009A7254"/>
    <w:rsid w:val="009B2BF4"/>
    <w:rsid w:val="009B52A3"/>
    <w:rsid w:val="009B53BA"/>
    <w:rsid w:val="009B5D6D"/>
    <w:rsid w:val="009B609B"/>
    <w:rsid w:val="009B6F4E"/>
    <w:rsid w:val="009B6FA5"/>
    <w:rsid w:val="009B70E4"/>
    <w:rsid w:val="009B74CD"/>
    <w:rsid w:val="009D1F6F"/>
    <w:rsid w:val="009D38DB"/>
    <w:rsid w:val="009D3D0A"/>
    <w:rsid w:val="009D628E"/>
    <w:rsid w:val="009D62DE"/>
    <w:rsid w:val="009E1F06"/>
    <w:rsid w:val="009E1F3E"/>
    <w:rsid w:val="009E5DEF"/>
    <w:rsid w:val="009E6B6B"/>
    <w:rsid w:val="009E7662"/>
    <w:rsid w:val="009F212C"/>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5786"/>
    <w:rsid w:val="00A35F3F"/>
    <w:rsid w:val="00A3755F"/>
    <w:rsid w:val="00A40234"/>
    <w:rsid w:val="00A4496C"/>
    <w:rsid w:val="00A51BDA"/>
    <w:rsid w:val="00A52FED"/>
    <w:rsid w:val="00A547EA"/>
    <w:rsid w:val="00A54EE3"/>
    <w:rsid w:val="00A60040"/>
    <w:rsid w:val="00A61125"/>
    <w:rsid w:val="00A64033"/>
    <w:rsid w:val="00A65635"/>
    <w:rsid w:val="00A66230"/>
    <w:rsid w:val="00A666E6"/>
    <w:rsid w:val="00A66B33"/>
    <w:rsid w:val="00A706DE"/>
    <w:rsid w:val="00A70BEA"/>
    <w:rsid w:val="00A7226B"/>
    <w:rsid w:val="00A74C23"/>
    <w:rsid w:val="00A77E2C"/>
    <w:rsid w:val="00A80575"/>
    <w:rsid w:val="00A806B3"/>
    <w:rsid w:val="00A80E57"/>
    <w:rsid w:val="00A82337"/>
    <w:rsid w:val="00A90118"/>
    <w:rsid w:val="00A90821"/>
    <w:rsid w:val="00A928C5"/>
    <w:rsid w:val="00A94CCD"/>
    <w:rsid w:val="00A955A3"/>
    <w:rsid w:val="00A958C2"/>
    <w:rsid w:val="00A95C9E"/>
    <w:rsid w:val="00A965CD"/>
    <w:rsid w:val="00A96933"/>
    <w:rsid w:val="00A97D34"/>
    <w:rsid w:val="00AA175E"/>
    <w:rsid w:val="00AA1B3F"/>
    <w:rsid w:val="00AA565B"/>
    <w:rsid w:val="00AA6572"/>
    <w:rsid w:val="00AA6DE0"/>
    <w:rsid w:val="00AB0EDD"/>
    <w:rsid w:val="00AB238D"/>
    <w:rsid w:val="00AC5DC1"/>
    <w:rsid w:val="00AD1275"/>
    <w:rsid w:val="00AD56BA"/>
    <w:rsid w:val="00AE5941"/>
    <w:rsid w:val="00AE7E72"/>
    <w:rsid w:val="00AF00B0"/>
    <w:rsid w:val="00AF0B6E"/>
    <w:rsid w:val="00AF0C1B"/>
    <w:rsid w:val="00AF1152"/>
    <w:rsid w:val="00AF20DE"/>
    <w:rsid w:val="00AF2C7E"/>
    <w:rsid w:val="00AF337C"/>
    <w:rsid w:val="00AF365B"/>
    <w:rsid w:val="00AF3BC9"/>
    <w:rsid w:val="00B0152E"/>
    <w:rsid w:val="00B06F77"/>
    <w:rsid w:val="00B070B2"/>
    <w:rsid w:val="00B109B3"/>
    <w:rsid w:val="00B17EA4"/>
    <w:rsid w:val="00B2401D"/>
    <w:rsid w:val="00B271E2"/>
    <w:rsid w:val="00B27F1E"/>
    <w:rsid w:val="00B320E0"/>
    <w:rsid w:val="00B32D83"/>
    <w:rsid w:val="00B35A2B"/>
    <w:rsid w:val="00B40143"/>
    <w:rsid w:val="00B44598"/>
    <w:rsid w:val="00B44C87"/>
    <w:rsid w:val="00B45127"/>
    <w:rsid w:val="00B4672E"/>
    <w:rsid w:val="00B47772"/>
    <w:rsid w:val="00B525E7"/>
    <w:rsid w:val="00B5298A"/>
    <w:rsid w:val="00B52BC2"/>
    <w:rsid w:val="00B54B9E"/>
    <w:rsid w:val="00B5655B"/>
    <w:rsid w:val="00B602C0"/>
    <w:rsid w:val="00B61482"/>
    <w:rsid w:val="00B639CC"/>
    <w:rsid w:val="00B65AA6"/>
    <w:rsid w:val="00B67A38"/>
    <w:rsid w:val="00B736AC"/>
    <w:rsid w:val="00B753D4"/>
    <w:rsid w:val="00B777DB"/>
    <w:rsid w:val="00B804DA"/>
    <w:rsid w:val="00B83BD4"/>
    <w:rsid w:val="00B873B1"/>
    <w:rsid w:val="00B91C42"/>
    <w:rsid w:val="00B927F2"/>
    <w:rsid w:val="00BA7858"/>
    <w:rsid w:val="00BB0ED6"/>
    <w:rsid w:val="00BB1C0A"/>
    <w:rsid w:val="00BB4376"/>
    <w:rsid w:val="00BB4A45"/>
    <w:rsid w:val="00BB4B74"/>
    <w:rsid w:val="00BB6FED"/>
    <w:rsid w:val="00BC41B2"/>
    <w:rsid w:val="00BC45B6"/>
    <w:rsid w:val="00BC4F9E"/>
    <w:rsid w:val="00BE0799"/>
    <w:rsid w:val="00BE26D9"/>
    <w:rsid w:val="00BF1119"/>
    <w:rsid w:val="00BF5510"/>
    <w:rsid w:val="00C00C31"/>
    <w:rsid w:val="00C0202C"/>
    <w:rsid w:val="00C04C3E"/>
    <w:rsid w:val="00C070A2"/>
    <w:rsid w:val="00C10D37"/>
    <w:rsid w:val="00C13A0F"/>
    <w:rsid w:val="00C14C4A"/>
    <w:rsid w:val="00C17E66"/>
    <w:rsid w:val="00C22482"/>
    <w:rsid w:val="00C242A9"/>
    <w:rsid w:val="00C24D87"/>
    <w:rsid w:val="00C3032A"/>
    <w:rsid w:val="00C3198C"/>
    <w:rsid w:val="00C31C6D"/>
    <w:rsid w:val="00C31FF2"/>
    <w:rsid w:val="00C33C36"/>
    <w:rsid w:val="00C34E53"/>
    <w:rsid w:val="00C37264"/>
    <w:rsid w:val="00C40428"/>
    <w:rsid w:val="00C408D1"/>
    <w:rsid w:val="00C44645"/>
    <w:rsid w:val="00C50A3F"/>
    <w:rsid w:val="00C5121B"/>
    <w:rsid w:val="00C51474"/>
    <w:rsid w:val="00C51847"/>
    <w:rsid w:val="00C55C36"/>
    <w:rsid w:val="00C61072"/>
    <w:rsid w:val="00C6137D"/>
    <w:rsid w:val="00C61540"/>
    <w:rsid w:val="00C61B0C"/>
    <w:rsid w:val="00C61F4B"/>
    <w:rsid w:val="00C634E4"/>
    <w:rsid w:val="00C67D4C"/>
    <w:rsid w:val="00C706FA"/>
    <w:rsid w:val="00C71FD7"/>
    <w:rsid w:val="00C808FE"/>
    <w:rsid w:val="00C81D18"/>
    <w:rsid w:val="00C82258"/>
    <w:rsid w:val="00C82744"/>
    <w:rsid w:val="00C836D9"/>
    <w:rsid w:val="00C84109"/>
    <w:rsid w:val="00C843F0"/>
    <w:rsid w:val="00C85F66"/>
    <w:rsid w:val="00C87F51"/>
    <w:rsid w:val="00C95F0B"/>
    <w:rsid w:val="00C96EE4"/>
    <w:rsid w:val="00CA0CFD"/>
    <w:rsid w:val="00CA37C8"/>
    <w:rsid w:val="00CA5047"/>
    <w:rsid w:val="00CA7C2A"/>
    <w:rsid w:val="00CC1221"/>
    <w:rsid w:val="00CC3731"/>
    <w:rsid w:val="00CC4EE7"/>
    <w:rsid w:val="00CC6DD2"/>
    <w:rsid w:val="00CD4CC6"/>
    <w:rsid w:val="00CD58FA"/>
    <w:rsid w:val="00CD5C22"/>
    <w:rsid w:val="00CE363E"/>
    <w:rsid w:val="00CF1430"/>
    <w:rsid w:val="00CF1AE4"/>
    <w:rsid w:val="00D0046C"/>
    <w:rsid w:val="00D006A2"/>
    <w:rsid w:val="00D00979"/>
    <w:rsid w:val="00D01E3B"/>
    <w:rsid w:val="00D05480"/>
    <w:rsid w:val="00D06EEA"/>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37490"/>
    <w:rsid w:val="00D41F8D"/>
    <w:rsid w:val="00D42ADE"/>
    <w:rsid w:val="00D451AB"/>
    <w:rsid w:val="00D50991"/>
    <w:rsid w:val="00D578AF"/>
    <w:rsid w:val="00D61DA0"/>
    <w:rsid w:val="00D65D7A"/>
    <w:rsid w:val="00D6793A"/>
    <w:rsid w:val="00D7347C"/>
    <w:rsid w:val="00D74D7F"/>
    <w:rsid w:val="00D75348"/>
    <w:rsid w:val="00D80F6F"/>
    <w:rsid w:val="00D820E3"/>
    <w:rsid w:val="00D863C9"/>
    <w:rsid w:val="00D9342C"/>
    <w:rsid w:val="00D944CB"/>
    <w:rsid w:val="00DA326B"/>
    <w:rsid w:val="00DA3BCE"/>
    <w:rsid w:val="00DA59FA"/>
    <w:rsid w:val="00DB1157"/>
    <w:rsid w:val="00DB295F"/>
    <w:rsid w:val="00DB29E4"/>
    <w:rsid w:val="00DB3826"/>
    <w:rsid w:val="00DB47DC"/>
    <w:rsid w:val="00DB74F2"/>
    <w:rsid w:val="00DC205C"/>
    <w:rsid w:val="00DC4F62"/>
    <w:rsid w:val="00DC5687"/>
    <w:rsid w:val="00DC6575"/>
    <w:rsid w:val="00DC7A5D"/>
    <w:rsid w:val="00DD00EF"/>
    <w:rsid w:val="00DD1CF8"/>
    <w:rsid w:val="00DD6102"/>
    <w:rsid w:val="00DD71F1"/>
    <w:rsid w:val="00DE00C5"/>
    <w:rsid w:val="00DE3FB5"/>
    <w:rsid w:val="00DF2749"/>
    <w:rsid w:val="00DF40BF"/>
    <w:rsid w:val="00DF60A6"/>
    <w:rsid w:val="00E00D0A"/>
    <w:rsid w:val="00E05B5A"/>
    <w:rsid w:val="00E05F1B"/>
    <w:rsid w:val="00E06E4F"/>
    <w:rsid w:val="00E07B93"/>
    <w:rsid w:val="00E07E15"/>
    <w:rsid w:val="00E11D87"/>
    <w:rsid w:val="00E1354A"/>
    <w:rsid w:val="00E161F8"/>
    <w:rsid w:val="00E261A4"/>
    <w:rsid w:val="00E26EE5"/>
    <w:rsid w:val="00E32815"/>
    <w:rsid w:val="00E33554"/>
    <w:rsid w:val="00E40596"/>
    <w:rsid w:val="00E40BA9"/>
    <w:rsid w:val="00E41B77"/>
    <w:rsid w:val="00E44E17"/>
    <w:rsid w:val="00E45EC3"/>
    <w:rsid w:val="00E47C4F"/>
    <w:rsid w:val="00E53BBB"/>
    <w:rsid w:val="00E541A3"/>
    <w:rsid w:val="00E637BB"/>
    <w:rsid w:val="00E638C8"/>
    <w:rsid w:val="00E658DD"/>
    <w:rsid w:val="00E65D7E"/>
    <w:rsid w:val="00E70383"/>
    <w:rsid w:val="00E7427C"/>
    <w:rsid w:val="00E75972"/>
    <w:rsid w:val="00E815D2"/>
    <w:rsid w:val="00E82204"/>
    <w:rsid w:val="00E8377B"/>
    <w:rsid w:val="00E83A77"/>
    <w:rsid w:val="00E8796C"/>
    <w:rsid w:val="00E90251"/>
    <w:rsid w:val="00E933C0"/>
    <w:rsid w:val="00E962B7"/>
    <w:rsid w:val="00E96877"/>
    <w:rsid w:val="00E978BF"/>
    <w:rsid w:val="00EA1188"/>
    <w:rsid w:val="00EB0752"/>
    <w:rsid w:val="00EB0AE1"/>
    <w:rsid w:val="00EB1186"/>
    <w:rsid w:val="00EB77CC"/>
    <w:rsid w:val="00EC0997"/>
    <w:rsid w:val="00EC2EEF"/>
    <w:rsid w:val="00EC5DDD"/>
    <w:rsid w:val="00ED0026"/>
    <w:rsid w:val="00ED2F39"/>
    <w:rsid w:val="00ED30F4"/>
    <w:rsid w:val="00ED43BB"/>
    <w:rsid w:val="00ED449A"/>
    <w:rsid w:val="00ED68E9"/>
    <w:rsid w:val="00ED7553"/>
    <w:rsid w:val="00EE1FC2"/>
    <w:rsid w:val="00EE419C"/>
    <w:rsid w:val="00EF52E8"/>
    <w:rsid w:val="00EF670C"/>
    <w:rsid w:val="00F1132A"/>
    <w:rsid w:val="00F11F09"/>
    <w:rsid w:val="00F1455B"/>
    <w:rsid w:val="00F16D36"/>
    <w:rsid w:val="00F210FD"/>
    <w:rsid w:val="00F250D2"/>
    <w:rsid w:val="00F33087"/>
    <w:rsid w:val="00F350B2"/>
    <w:rsid w:val="00F372A2"/>
    <w:rsid w:val="00F4243D"/>
    <w:rsid w:val="00F429BB"/>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47E5"/>
    <w:rsid w:val="00F76618"/>
    <w:rsid w:val="00F76E42"/>
    <w:rsid w:val="00F81D1B"/>
    <w:rsid w:val="00F83FBC"/>
    <w:rsid w:val="00F841A7"/>
    <w:rsid w:val="00F84292"/>
    <w:rsid w:val="00F850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B7D7C"/>
    <w:rsid w:val="00FC037E"/>
    <w:rsid w:val="00FC19B9"/>
    <w:rsid w:val="00FC4DE3"/>
    <w:rsid w:val="00FC6716"/>
    <w:rsid w:val="00FD00A5"/>
    <w:rsid w:val="00FD4B0F"/>
    <w:rsid w:val="00FD542B"/>
    <w:rsid w:val="00FE0661"/>
    <w:rsid w:val="00FF0C09"/>
    <w:rsid w:val="00FF1D34"/>
    <w:rsid w:val="00FF1DD7"/>
    <w:rsid w:val="00FF3775"/>
    <w:rsid w:val="00FF3996"/>
    <w:rsid w:val="01CE5D1C"/>
    <w:rsid w:val="026475DE"/>
    <w:rsid w:val="039E595D"/>
    <w:rsid w:val="06E15F8D"/>
    <w:rsid w:val="070F07F6"/>
    <w:rsid w:val="0765096C"/>
    <w:rsid w:val="08083403"/>
    <w:rsid w:val="081C3970"/>
    <w:rsid w:val="09BE5E2A"/>
    <w:rsid w:val="0A091F73"/>
    <w:rsid w:val="0A8504E9"/>
    <w:rsid w:val="0AF54E47"/>
    <w:rsid w:val="0B073D25"/>
    <w:rsid w:val="0C9D4EAB"/>
    <w:rsid w:val="0D92619C"/>
    <w:rsid w:val="0DEA65B5"/>
    <w:rsid w:val="0F412CA9"/>
    <w:rsid w:val="0FD348E1"/>
    <w:rsid w:val="0FD566D2"/>
    <w:rsid w:val="13B2170D"/>
    <w:rsid w:val="13B97480"/>
    <w:rsid w:val="14034EB5"/>
    <w:rsid w:val="14870494"/>
    <w:rsid w:val="15085E8C"/>
    <w:rsid w:val="15174F60"/>
    <w:rsid w:val="1556095A"/>
    <w:rsid w:val="155D7127"/>
    <w:rsid w:val="167D7F24"/>
    <w:rsid w:val="17306AB5"/>
    <w:rsid w:val="17373F64"/>
    <w:rsid w:val="19017DC9"/>
    <w:rsid w:val="19534DA3"/>
    <w:rsid w:val="19A054D6"/>
    <w:rsid w:val="1B0717C8"/>
    <w:rsid w:val="1BA03836"/>
    <w:rsid w:val="1BC91516"/>
    <w:rsid w:val="1BE33681"/>
    <w:rsid w:val="1DCB4E4A"/>
    <w:rsid w:val="1E1467F1"/>
    <w:rsid w:val="1EED5392"/>
    <w:rsid w:val="1FBDA86D"/>
    <w:rsid w:val="207417C9"/>
    <w:rsid w:val="21862EC6"/>
    <w:rsid w:val="21E464DA"/>
    <w:rsid w:val="22AB037D"/>
    <w:rsid w:val="237A2B2A"/>
    <w:rsid w:val="24015121"/>
    <w:rsid w:val="242D2C2D"/>
    <w:rsid w:val="25FBCF81"/>
    <w:rsid w:val="28FB2A87"/>
    <w:rsid w:val="2920604A"/>
    <w:rsid w:val="2C4B5AD3"/>
    <w:rsid w:val="2C4F36F5"/>
    <w:rsid w:val="2D5F22BD"/>
    <w:rsid w:val="2FF37D11"/>
    <w:rsid w:val="3013049D"/>
    <w:rsid w:val="303845C1"/>
    <w:rsid w:val="332C3D99"/>
    <w:rsid w:val="334836EB"/>
    <w:rsid w:val="33484B1B"/>
    <w:rsid w:val="339259E4"/>
    <w:rsid w:val="353B3037"/>
    <w:rsid w:val="365875C5"/>
    <w:rsid w:val="39356049"/>
    <w:rsid w:val="3B4E60E4"/>
    <w:rsid w:val="3BFE2074"/>
    <w:rsid w:val="3D642C56"/>
    <w:rsid w:val="3F8C7277"/>
    <w:rsid w:val="3FA0222F"/>
    <w:rsid w:val="3FDF106E"/>
    <w:rsid w:val="42C133BC"/>
    <w:rsid w:val="42D769B6"/>
    <w:rsid w:val="44DE3B66"/>
    <w:rsid w:val="44F600D3"/>
    <w:rsid w:val="45617704"/>
    <w:rsid w:val="459B4F7E"/>
    <w:rsid w:val="47C22C96"/>
    <w:rsid w:val="48B048DB"/>
    <w:rsid w:val="4A4831FA"/>
    <w:rsid w:val="4B7C707F"/>
    <w:rsid w:val="4B8C0594"/>
    <w:rsid w:val="4BDFF161"/>
    <w:rsid w:val="4C0F7B1B"/>
    <w:rsid w:val="4C887636"/>
    <w:rsid w:val="4CFE380A"/>
    <w:rsid w:val="4D605ECC"/>
    <w:rsid w:val="4D862B8C"/>
    <w:rsid w:val="4DFF35F5"/>
    <w:rsid w:val="4EBF1B1D"/>
    <w:rsid w:val="4EF47599"/>
    <w:rsid w:val="4F733F67"/>
    <w:rsid w:val="4FE3578A"/>
    <w:rsid w:val="5382777D"/>
    <w:rsid w:val="53CF9561"/>
    <w:rsid w:val="546121C6"/>
    <w:rsid w:val="54E94B5B"/>
    <w:rsid w:val="55661639"/>
    <w:rsid w:val="55761622"/>
    <w:rsid w:val="565F7902"/>
    <w:rsid w:val="56E524FD"/>
    <w:rsid w:val="57DC1CE2"/>
    <w:rsid w:val="5B90055D"/>
    <w:rsid w:val="5BD857FA"/>
    <w:rsid w:val="5C080481"/>
    <w:rsid w:val="5D1B4C6E"/>
    <w:rsid w:val="5DFE65DB"/>
    <w:rsid w:val="5E202145"/>
    <w:rsid w:val="5E453C20"/>
    <w:rsid w:val="5F621BCD"/>
    <w:rsid w:val="6031647B"/>
    <w:rsid w:val="60B9109D"/>
    <w:rsid w:val="62F74A7A"/>
    <w:rsid w:val="63BB5260"/>
    <w:rsid w:val="63D25BB7"/>
    <w:rsid w:val="64C23E7D"/>
    <w:rsid w:val="65EE9BF0"/>
    <w:rsid w:val="668E2223"/>
    <w:rsid w:val="67A252D2"/>
    <w:rsid w:val="67FFD309"/>
    <w:rsid w:val="683026D9"/>
    <w:rsid w:val="693F388B"/>
    <w:rsid w:val="69FFFC0A"/>
    <w:rsid w:val="6B8450C2"/>
    <w:rsid w:val="6D6B2492"/>
    <w:rsid w:val="6DBA21A1"/>
    <w:rsid w:val="6F136B04"/>
    <w:rsid w:val="7304780E"/>
    <w:rsid w:val="73731F46"/>
    <w:rsid w:val="75BB73CE"/>
    <w:rsid w:val="75ED0344"/>
    <w:rsid w:val="77ED788F"/>
    <w:rsid w:val="78AF3D07"/>
    <w:rsid w:val="7AB14320"/>
    <w:rsid w:val="7AF5051C"/>
    <w:rsid w:val="7BBA680A"/>
    <w:rsid w:val="7BE826AE"/>
    <w:rsid w:val="7BF3368A"/>
    <w:rsid w:val="7CCF532E"/>
    <w:rsid w:val="7DF033B2"/>
    <w:rsid w:val="7E00338F"/>
    <w:rsid w:val="7E2766A8"/>
    <w:rsid w:val="7FAF8CE9"/>
    <w:rsid w:val="7FBE4C82"/>
    <w:rsid w:val="BDF63E3D"/>
    <w:rsid w:val="CB7C5BFC"/>
    <w:rsid w:val="DF3A5D3C"/>
    <w:rsid w:val="EEE3C452"/>
    <w:rsid w:val="EEF751F1"/>
    <w:rsid w:val="F57963B0"/>
    <w:rsid w:val="F9DB69FD"/>
    <w:rsid w:val="FF7E6780"/>
    <w:rsid w:val="FF7F5C5C"/>
    <w:rsid w:val="FFFEF4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qFormat="1" w:uiPriority="0" w:name="endnote reference"/>
    <w:lsdException w:qFormat="1"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0"/>
    <w:pPr>
      <w:spacing w:after="120"/>
    </w:pPr>
  </w:style>
  <w:style w:type="paragraph" w:styleId="3">
    <w:name w:val="endnote text"/>
    <w:basedOn w:val="1"/>
    <w:link w:val="53"/>
    <w:semiHidden/>
    <w:unhideWhenUsed/>
    <w:qFormat/>
    <w:uiPriority w:val="0"/>
    <w:pPr>
      <w:snapToGrid w:val="0"/>
      <w:jc w:val="left"/>
    </w:pPr>
  </w:style>
  <w:style w:type="paragraph" w:styleId="4">
    <w:name w:val="Balloon Text"/>
    <w:basedOn w:val="1"/>
    <w:link w:val="40"/>
    <w:semiHidden/>
    <w:unhideWhenUsed/>
    <w:qFormat/>
    <w:uiPriority w:val="0"/>
    <w:rPr>
      <w:sz w:val="18"/>
      <w:szCs w:val="18"/>
    </w:rPr>
  </w:style>
  <w:style w:type="paragraph" w:styleId="5">
    <w:name w:val="footer"/>
    <w:basedOn w:val="1"/>
    <w:link w:val="32"/>
    <w:qFormat/>
    <w:uiPriority w:val="99"/>
    <w:pPr>
      <w:tabs>
        <w:tab w:val="center" w:pos="4153"/>
        <w:tab w:val="right" w:pos="8306"/>
      </w:tabs>
      <w:snapToGrid w:val="0"/>
      <w:jc w:val="left"/>
    </w:pPr>
    <w:rPr>
      <w:sz w:val="18"/>
      <w:szCs w:val="18"/>
    </w:rPr>
  </w:style>
  <w:style w:type="paragraph" w:styleId="6">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table" w:styleId="9">
    <w:name w:val="Table Grid"/>
    <w:basedOn w:val="8"/>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10">
    <w:name w:val="Light Shading"/>
    <w:basedOn w:val="8"/>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character" w:styleId="12">
    <w:name w:val="Strong"/>
    <w:basedOn w:val="11"/>
    <w:qFormat/>
    <w:uiPriority w:val="22"/>
    <w:rPr>
      <w:b/>
      <w:bCs/>
    </w:rPr>
  </w:style>
  <w:style w:type="character" w:styleId="13">
    <w:name w:val="endnote reference"/>
    <w:basedOn w:val="11"/>
    <w:semiHidden/>
    <w:unhideWhenUsed/>
    <w:qFormat/>
    <w:uiPriority w:val="0"/>
    <w:rPr>
      <w:vertAlign w:val="superscript"/>
    </w:rPr>
  </w:style>
  <w:style w:type="character" w:styleId="14">
    <w:name w:val="Hyperlink"/>
    <w:basedOn w:val="11"/>
    <w:unhideWhenUsed/>
    <w:qFormat/>
    <w:uiPriority w:val="99"/>
    <w:rPr>
      <w:color w:val="0000FF"/>
      <w:u w:val="single"/>
    </w:rPr>
  </w:style>
  <w:style w:type="paragraph" w:customStyle="1" w:styleId="15">
    <w:name w:val="段"/>
    <w:link w:val="3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6">
    <w:name w:val="正文表标题"/>
    <w:next w:val="15"/>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7">
    <w:name w:val="正文图标题"/>
    <w:next w:val="15"/>
    <w:qFormat/>
    <w:uiPriority w:val="0"/>
    <w:pPr>
      <w:numPr>
        <w:ilvl w:val="0"/>
        <w:numId w:val="1"/>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8">
    <w:name w:val="其他发布日期"/>
    <w:basedOn w:val="1"/>
    <w:qFormat/>
    <w:uiPriority w:val="0"/>
    <w:pPr>
      <w:framePr w:w="3997" w:h="471" w:hRule="exact" w:vSpace="181" w:wrap="around" w:vAnchor="page" w:hAnchor="page" w:x="1419" w:y="14097" w:anchorLock="1"/>
      <w:widowControl/>
      <w:numPr>
        <w:ilvl w:val="0"/>
        <w:numId w:val="2"/>
      </w:numPr>
      <w:jc w:val="left"/>
    </w:pPr>
    <w:rPr>
      <w:rFonts w:eastAsia="黑体"/>
      <w:kern w:val="0"/>
      <w:sz w:val="28"/>
      <w:szCs w:val="20"/>
    </w:rPr>
  </w:style>
  <w:style w:type="paragraph" w:customStyle="1" w:styleId="19">
    <w:name w:val="一级条标题"/>
    <w:next w:val="15"/>
    <w:qFormat/>
    <w:uiPriority w:val="0"/>
    <w:pPr>
      <w:spacing w:beforeLines="50" w:afterLines="50"/>
      <w:ind w:left="525"/>
      <w:outlineLvl w:val="2"/>
    </w:pPr>
    <w:rPr>
      <w:rFonts w:ascii="黑体" w:hAnsi="Times New Roman" w:eastAsia="黑体" w:cs="Times New Roman"/>
      <w:sz w:val="21"/>
      <w:szCs w:val="21"/>
      <w:lang w:val="en-US" w:eastAsia="zh-CN" w:bidi="ar-SA"/>
    </w:rPr>
  </w:style>
  <w:style w:type="paragraph" w:customStyle="1" w:styleId="20">
    <w:name w:val="章标题"/>
    <w:next w:val="15"/>
    <w:qFormat/>
    <w:uiPriority w:val="0"/>
    <w:pPr>
      <w:numPr>
        <w:ilvl w:val="0"/>
        <w:numId w:val="3"/>
      </w:numPr>
      <w:spacing w:beforeLines="100" w:afterLines="100"/>
      <w:jc w:val="both"/>
      <w:outlineLvl w:val="1"/>
    </w:pPr>
    <w:rPr>
      <w:rFonts w:ascii="黑体" w:hAnsi="Times New Roman" w:eastAsia="黑体" w:cs="Times New Roman"/>
      <w:sz w:val="21"/>
      <w:lang w:val="en-US" w:eastAsia="zh-CN" w:bidi="ar-SA"/>
    </w:rPr>
  </w:style>
  <w:style w:type="paragraph" w:customStyle="1" w:styleId="21">
    <w:name w:val="二级条标题"/>
    <w:basedOn w:val="19"/>
    <w:next w:val="15"/>
    <w:qFormat/>
    <w:uiPriority w:val="0"/>
    <w:pPr>
      <w:spacing w:before="50" w:after="50"/>
      <w:outlineLvl w:val="3"/>
    </w:pPr>
  </w:style>
  <w:style w:type="paragraph" w:customStyle="1" w:styleId="22">
    <w:name w:val="三级条标题"/>
    <w:basedOn w:val="21"/>
    <w:next w:val="15"/>
    <w:qFormat/>
    <w:uiPriority w:val="0"/>
    <w:pPr>
      <w:outlineLvl w:val="4"/>
    </w:pPr>
  </w:style>
  <w:style w:type="paragraph" w:customStyle="1" w:styleId="23">
    <w:name w:val="四级条标题"/>
    <w:basedOn w:val="22"/>
    <w:next w:val="15"/>
    <w:qFormat/>
    <w:uiPriority w:val="0"/>
    <w:pPr>
      <w:outlineLvl w:val="5"/>
    </w:pPr>
  </w:style>
  <w:style w:type="paragraph" w:customStyle="1" w:styleId="24">
    <w:name w:val="五级条标题"/>
    <w:basedOn w:val="23"/>
    <w:next w:val="15"/>
    <w:qFormat/>
    <w:uiPriority w:val="0"/>
    <w:pPr>
      <w:outlineLvl w:val="6"/>
    </w:pPr>
  </w:style>
  <w:style w:type="paragraph" w:customStyle="1" w:styleId="25">
    <w:name w:val="注："/>
    <w:next w:val="15"/>
    <w:qFormat/>
    <w:uiPriority w:val="0"/>
    <w:pPr>
      <w:widowControl w:val="0"/>
      <w:numPr>
        <w:ilvl w:val="0"/>
        <w:numId w:val="4"/>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6">
    <w:name w:val="附录图标号"/>
    <w:basedOn w:val="1"/>
    <w:qFormat/>
    <w:uiPriority w:val="0"/>
    <w:pPr>
      <w:keepNext/>
      <w:pageBreakBefore/>
      <w:widowControl/>
      <w:numPr>
        <w:ilvl w:val="0"/>
        <w:numId w:val="5"/>
      </w:numPr>
      <w:spacing w:line="14" w:lineRule="exact"/>
      <w:ind w:left="0" w:firstLine="363"/>
      <w:jc w:val="center"/>
      <w:outlineLvl w:val="0"/>
    </w:pPr>
    <w:rPr>
      <w:color w:val="FFFFFF"/>
    </w:rPr>
  </w:style>
  <w:style w:type="paragraph" w:customStyle="1" w:styleId="27">
    <w:name w:val="附录图标题"/>
    <w:basedOn w:val="1"/>
    <w:next w:val="15"/>
    <w:qFormat/>
    <w:uiPriority w:val="0"/>
    <w:pPr>
      <w:numPr>
        <w:ilvl w:val="1"/>
        <w:numId w:val="5"/>
      </w:numPr>
      <w:tabs>
        <w:tab w:val="left" w:pos="363"/>
      </w:tabs>
      <w:spacing w:beforeLines="50" w:afterLines="50"/>
      <w:ind w:left="0" w:firstLine="0"/>
      <w:jc w:val="center"/>
    </w:pPr>
    <w:rPr>
      <w:rFonts w:ascii="黑体" w:eastAsia="黑体"/>
      <w:szCs w:val="21"/>
    </w:rPr>
  </w:style>
  <w:style w:type="paragraph" w:customStyle="1" w:styleId="28">
    <w:name w:val="注×：（正文）"/>
    <w:qFormat/>
    <w:uiPriority w:val="0"/>
    <w:pPr>
      <w:numPr>
        <w:ilvl w:val="0"/>
        <w:numId w:val="6"/>
      </w:numPr>
      <w:jc w:val="both"/>
    </w:pPr>
    <w:rPr>
      <w:rFonts w:ascii="宋体" w:hAnsi="Times New Roman" w:eastAsia="宋体" w:cs="Times New Roman"/>
      <w:sz w:val="18"/>
      <w:szCs w:val="18"/>
      <w:lang w:val="en-US" w:eastAsia="zh-CN" w:bidi="ar-SA"/>
    </w:rPr>
  </w:style>
  <w:style w:type="paragraph" w:customStyle="1" w:styleId="29">
    <w:name w:val="图表脚注说明"/>
    <w:basedOn w:val="1"/>
    <w:qFormat/>
    <w:uiPriority w:val="0"/>
    <w:pPr>
      <w:numPr>
        <w:ilvl w:val="0"/>
        <w:numId w:val="7"/>
      </w:numPr>
    </w:pPr>
    <w:rPr>
      <w:rFonts w:ascii="宋体"/>
      <w:sz w:val="18"/>
      <w:szCs w:val="18"/>
    </w:rPr>
  </w:style>
  <w:style w:type="character" w:customStyle="1" w:styleId="30">
    <w:name w:val="段 Char"/>
    <w:basedOn w:val="11"/>
    <w:link w:val="15"/>
    <w:qFormat/>
    <w:uiPriority w:val="0"/>
    <w:rPr>
      <w:rFonts w:ascii="宋体"/>
      <w:sz w:val="21"/>
      <w:lang w:val="en-US" w:eastAsia="zh-CN" w:bidi="ar-SA"/>
    </w:rPr>
  </w:style>
  <w:style w:type="character" w:customStyle="1" w:styleId="31">
    <w:name w:val="页眉 Char"/>
    <w:basedOn w:val="11"/>
    <w:link w:val="6"/>
    <w:qFormat/>
    <w:uiPriority w:val="0"/>
    <w:rPr>
      <w:kern w:val="2"/>
      <w:sz w:val="18"/>
      <w:szCs w:val="18"/>
    </w:rPr>
  </w:style>
  <w:style w:type="character" w:customStyle="1" w:styleId="32">
    <w:name w:val="页脚 Char"/>
    <w:basedOn w:val="11"/>
    <w:link w:val="5"/>
    <w:qFormat/>
    <w:uiPriority w:val="99"/>
    <w:rPr>
      <w:kern w:val="2"/>
      <w:sz w:val="18"/>
      <w:szCs w:val="18"/>
    </w:rPr>
  </w:style>
  <w:style w:type="paragraph" w:customStyle="1" w:styleId="33">
    <w:name w:val="附录表标题"/>
    <w:basedOn w:val="1"/>
    <w:next w:val="15"/>
    <w:qFormat/>
    <w:uiPriority w:val="0"/>
    <w:pPr>
      <w:numPr>
        <w:ilvl w:val="1"/>
        <w:numId w:val="8"/>
      </w:numPr>
      <w:tabs>
        <w:tab w:val="left" w:pos="180"/>
      </w:tabs>
      <w:spacing w:beforeLines="50" w:afterLines="50"/>
      <w:ind w:left="0" w:firstLine="0"/>
      <w:jc w:val="center"/>
    </w:pPr>
    <w:rPr>
      <w:rFonts w:ascii="黑体" w:eastAsia="黑体"/>
      <w:szCs w:val="21"/>
    </w:rPr>
  </w:style>
  <w:style w:type="paragraph" w:styleId="34">
    <w:name w:val="List Paragraph"/>
    <w:basedOn w:val="1"/>
    <w:unhideWhenUsed/>
    <w:qFormat/>
    <w:uiPriority w:val="34"/>
    <w:pPr>
      <w:ind w:firstLine="420"/>
    </w:pPr>
  </w:style>
  <w:style w:type="paragraph" w:customStyle="1" w:styleId="3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7">
    <w:name w:val="发布"/>
    <w:qFormat/>
    <w:uiPriority w:val="0"/>
    <w:rPr>
      <w:rFonts w:ascii="黑体" w:eastAsia="黑体"/>
      <w:spacing w:val="22"/>
      <w:w w:val="100"/>
      <w:position w:val="3"/>
      <w:sz w:val="28"/>
    </w:rPr>
  </w:style>
  <w:style w:type="paragraph" w:customStyle="1" w:styleId="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40">
    <w:name w:val="批注框文本 Char"/>
    <w:basedOn w:val="11"/>
    <w:link w:val="4"/>
    <w:semiHidden/>
    <w:qFormat/>
    <w:uiPriority w:val="0"/>
    <w:rPr>
      <w:rFonts w:ascii="Times New Roman" w:hAnsi="Times New Roman"/>
      <w:kern w:val="2"/>
      <w:sz w:val="18"/>
      <w:szCs w:val="18"/>
    </w:rPr>
  </w:style>
  <w:style w:type="paragraph" w:customStyle="1" w:styleId="41">
    <w:name w:val="BodyText2"/>
    <w:qFormat/>
    <w:uiPriority w:val="0"/>
    <w:pPr>
      <w:widowControl w:val="0"/>
      <w:spacing w:after="120" w:line="480" w:lineRule="auto"/>
      <w:jc w:val="both"/>
      <w:textAlignment w:val="baseline"/>
    </w:pPr>
    <w:rPr>
      <w:rFonts w:ascii="Times New Roman" w:hAnsi="Times New Roman" w:eastAsia="宋体" w:cs="Times New Roman"/>
      <w:kern w:val="2"/>
      <w:sz w:val="32"/>
      <w:szCs w:val="32"/>
      <w:lang w:val="en-US" w:eastAsia="zh-CN" w:bidi="ar-SA"/>
    </w:rPr>
  </w:style>
  <w:style w:type="paragraph" w:customStyle="1" w:styleId="42">
    <w:name w:val="一级无"/>
    <w:basedOn w:val="19"/>
    <w:qFormat/>
    <w:uiPriority w:val="0"/>
    <w:pPr>
      <w:numPr>
        <w:ilvl w:val="1"/>
        <w:numId w:val="3"/>
      </w:numPr>
      <w:spacing w:beforeLines="0" w:afterLines="0"/>
    </w:pPr>
    <w:rPr>
      <w:rFonts w:ascii="宋体" w:eastAsia="宋体"/>
    </w:rPr>
  </w:style>
  <w:style w:type="paragraph" w:customStyle="1" w:styleId="43">
    <w:name w:val="标准文件_一级无标题"/>
    <w:basedOn w:val="44"/>
    <w:qFormat/>
    <w:uiPriority w:val="0"/>
    <w:pPr>
      <w:numPr>
        <w:numId w:val="9"/>
      </w:numPr>
      <w:tabs>
        <w:tab w:val="left" w:pos="0"/>
      </w:tabs>
    </w:pPr>
    <w:rPr>
      <w:rFonts w:hint="eastAsia" w:ascii="宋体"/>
    </w:rPr>
  </w:style>
  <w:style w:type="paragraph" w:customStyle="1" w:styleId="44">
    <w:name w:val="标准文件_一级条标题"/>
    <w:basedOn w:val="45"/>
    <w:next w:val="39"/>
    <w:qFormat/>
    <w:uiPriority w:val="0"/>
    <w:pPr>
      <w:numPr>
        <w:ilvl w:val="2"/>
      </w:numPr>
      <w:spacing w:before="50" w:beforeLines="50" w:after="50" w:afterLines="50"/>
      <w:outlineLvl w:val="1"/>
    </w:pPr>
  </w:style>
  <w:style w:type="paragraph" w:customStyle="1" w:styleId="45">
    <w:name w:val="标准文件_章标题"/>
    <w:next w:val="39"/>
    <w:qFormat/>
    <w:uiPriority w:val="0"/>
    <w:pPr>
      <w:numPr>
        <w:ilvl w:val="1"/>
        <w:numId w:val="10"/>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6">
    <w:name w:val="标准文件_二级无标题"/>
    <w:qFormat/>
    <w:uiPriority w:val="0"/>
    <w:pPr>
      <w:widowControl w:val="0"/>
      <w:numPr>
        <w:ilvl w:val="3"/>
        <w:numId w:val="11"/>
      </w:numPr>
      <w:jc w:val="both"/>
    </w:pPr>
    <w:rPr>
      <w:rFonts w:hint="eastAsia" w:ascii="宋体" w:hAnsi="Times New Roman" w:eastAsia="宋体" w:cs="Times New Roman"/>
      <w:sz w:val="21"/>
      <w:lang w:val="en-US" w:eastAsia="zh-CN" w:bidi="ar-SA"/>
    </w:rPr>
  </w:style>
  <w:style w:type="paragraph" w:customStyle="1" w:styleId="47">
    <w:name w:val="标准文件_一级项"/>
    <w:basedOn w:val="1"/>
    <w:qFormat/>
    <w:uiPriority w:val="0"/>
    <w:pPr>
      <w:widowControl/>
      <w:numPr>
        <w:ilvl w:val="0"/>
        <w:numId w:val="12"/>
      </w:numPr>
      <w:jc w:val="left"/>
    </w:pPr>
    <w:rPr>
      <w:rFonts w:hint="eastAsia" w:ascii="宋体" w:eastAsia="宋体"/>
      <w:kern w:val="0"/>
      <w:sz w:val="21"/>
      <w:szCs w:val="20"/>
    </w:rPr>
  </w:style>
  <w:style w:type="character" w:customStyle="1" w:styleId="48">
    <w:name w:val="标准文件_段 Char"/>
    <w:basedOn w:val="11"/>
    <w:qFormat/>
    <w:uiPriority w:val="0"/>
    <w:rPr>
      <w:rFonts w:hint="eastAsia" w:ascii="宋体" w:hAnsi="宋体" w:eastAsia="宋体" w:cs="宋体"/>
      <w:sz w:val="21"/>
    </w:rPr>
  </w:style>
  <w:style w:type="paragraph" w:customStyle="1" w:styleId="49">
    <w:name w:val="标准文件_二级条标题"/>
    <w:basedOn w:val="1"/>
    <w:qFormat/>
    <w:uiPriority w:val="0"/>
    <w:pPr>
      <w:numPr>
        <w:ilvl w:val="3"/>
        <w:numId w:val="13"/>
      </w:numPr>
      <w:spacing w:beforeLines="50" w:afterLines="50"/>
      <w:outlineLvl w:val="2"/>
    </w:pPr>
    <w:rPr>
      <w:rFonts w:hint="eastAsia" w:ascii="黑体" w:eastAsia="黑体"/>
      <w:kern w:val="0"/>
      <w:sz w:val="21"/>
      <w:szCs w:val="20"/>
    </w:rPr>
  </w:style>
  <w:style w:type="paragraph" w:customStyle="1" w:styleId="50">
    <w:name w:val="标准文件_附录一级条标题"/>
    <w:basedOn w:val="1"/>
    <w:next w:val="1"/>
    <w:qFormat/>
    <w:uiPriority w:val="0"/>
    <w:pPr>
      <w:numPr>
        <w:ilvl w:val="1"/>
        <w:numId w:val="14"/>
      </w:numPr>
      <w:spacing w:beforeLines="50" w:afterLines="50"/>
      <w:outlineLvl w:val="2"/>
    </w:pPr>
    <w:rPr>
      <w:rFonts w:hint="eastAsia" w:ascii="黑体" w:eastAsia="黑体"/>
      <w:kern w:val="21"/>
      <w:sz w:val="21"/>
      <w:szCs w:val="20"/>
    </w:rPr>
  </w:style>
  <w:style w:type="paragraph" w:customStyle="1" w:styleId="51">
    <w:name w:val="标准文件_附录表标题"/>
    <w:basedOn w:val="1"/>
    <w:qFormat/>
    <w:uiPriority w:val="0"/>
    <w:pPr>
      <w:widowControl/>
      <w:numPr>
        <w:ilvl w:val="1"/>
        <w:numId w:val="15"/>
      </w:numPr>
      <w:adjustRightInd w:val="0"/>
      <w:snapToGrid w:val="0"/>
      <w:spacing w:beforeLines="50" w:afterLines="50"/>
      <w:jc w:val="center"/>
    </w:pPr>
    <w:rPr>
      <w:rFonts w:hint="eastAsia" w:ascii="黑体" w:eastAsia="黑体"/>
      <w:kern w:val="21"/>
      <w:sz w:val="21"/>
      <w:szCs w:val="20"/>
    </w:rPr>
  </w:style>
  <w:style w:type="paragraph" w:customStyle="1" w:styleId="52">
    <w:name w:val="标准文件_注："/>
    <w:basedOn w:val="1"/>
    <w:qFormat/>
    <w:uiPriority w:val="0"/>
    <w:pPr>
      <w:numPr>
        <w:ilvl w:val="0"/>
        <w:numId w:val="16"/>
      </w:numPr>
      <w:autoSpaceDE w:val="0"/>
      <w:autoSpaceDN w:val="0"/>
    </w:pPr>
    <w:rPr>
      <w:rFonts w:hint="eastAsia" w:ascii="宋体" w:eastAsia="宋体"/>
      <w:kern w:val="0"/>
      <w:sz w:val="18"/>
      <w:szCs w:val="18"/>
    </w:rPr>
  </w:style>
  <w:style w:type="character" w:customStyle="1" w:styleId="53">
    <w:name w:val="尾注文本 Char"/>
    <w:basedOn w:val="11"/>
    <w:link w:val="3"/>
    <w:semiHidden/>
    <w:qFormat/>
    <w:uiPriority w:val="0"/>
    <w:rPr>
      <w:rFonts w:eastAsia="仿宋_GB2312"/>
      <w:kern w:val="2"/>
      <w:sz w:val="32"/>
      <w:szCs w:val="24"/>
    </w:rPr>
  </w:style>
  <w:style w:type="character" w:customStyle="1" w:styleId="54">
    <w:name w:val="font41"/>
    <w:basedOn w:val="11"/>
    <w:qFormat/>
    <w:uiPriority w:val="0"/>
    <w:rPr>
      <w:rFonts w:hint="eastAsia" w:ascii="宋体" w:hAnsi="宋体" w:eastAsia="宋体" w:cs="宋体"/>
      <w:color w:val="000000"/>
      <w:sz w:val="21"/>
      <w:szCs w:val="21"/>
      <w:u w:val="none"/>
    </w:rPr>
  </w:style>
  <w:style w:type="character" w:customStyle="1" w:styleId="55">
    <w:name w:val="font11"/>
    <w:basedOn w:val="1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37073;&#20113;&#20029;\Desktop\&#24191;&#35199;&#26519;&#31185;&#38498;\&#40857;&#27721;&#23725;&#25968;&#25454;\&#40857;&#27721;&#23725;&#26519;&#22330;&#31481;&#31499;&#25968;&#25454;&#65288;2022.11&#65289;\2022\2022&#24180;&#20221;&#31481;&#31499;&#20135;&#37327;&#30331;&#35760;&#24635;&#34920;.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37073;&#20113;&#20029;\Desktop\&#24191;&#35199;&#26519;&#31185;&#38498;\&#40857;&#27721;&#23725;&#25968;&#25454;\&#40857;&#27721;&#23725;&#26519;&#22330;&#31481;&#31499;&#25968;&#25454;&#65288;2022.11&#65289;\2022\2022&#24180;&#20221;&#31481;&#31499;&#20135;&#37327;&#30331;&#35760;&#24635;&#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05985572192015"/>
          <c:y val="0.0933368062879505"/>
          <c:w val="0.85738176117063"/>
          <c:h val="0.608338833883388"/>
        </c:manualLayout>
      </c:layout>
      <c:lineChart>
        <c:grouping val="standard"/>
        <c:varyColors val="0"/>
        <c:ser>
          <c:idx val="0"/>
          <c:order val="0"/>
          <c:tx>
            <c:strRef>
              <c:f>[2022年份竹笋产量登记总表.xlsx]出笋数量数据整理!$P$22</c:f>
              <c:strCache>
                <c:ptCount val="1"/>
                <c:pt idx="0">
                  <c:v>出笋数量</c:v>
                </c:pt>
              </c:strCache>
            </c:strRef>
          </c:tx>
          <c:spPr>
            <a:ln w="9525" cap="rnd">
              <a:solidFill>
                <a:schemeClr val="tx1"/>
              </a:solidFill>
              <a:round/>
            </a:ln>
            <a:effectLst/>
          </c:spPr>
          <c:marker>
            <c:symbol val="diamond"/>
            <c:size val="6"/>
            <c:spPr>
              <a:solidFill>
                <a:schemeClr val="dk1">
                  <a:tint val="88500"/>
                </a:schemeClr>
              </a:solidFill>
              <a:ln w="9525">
                <a:solidFill>
                  <a:schemeClr val="dk1">
                    <a:tint val="88500"/>
                  </a:schemeClr>
                </a:solidFill>
                <a:round/>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cap="none" spc="0" normalizeH="0" baseline="0">
                    <a:solidFill>
                      <a:schemeClr val="tx1"/>
                    </a:solidFill>
                    <a:uFill>
                      <a:solidFill>
                        <a:schemeClr val="tx1"/>
                      </a:solidFill>
                    </a:uFill>
                    <a:latin typeface="Times New Roman" panose="02020603050405020304" charset="0"/>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[2022年份竹笋产量登记总表.xlsx]出笋数量数据整理!$O$24:$O$31</c:f>
              <c:strCache>
                <c:ptCount val="8"/>
                <c:pt idx="0">
                  <c:v>6.1~6.15</c:v>
                </c:pt>
                <c:pt idx="1">
                  <c:v>6.16~6.30</c:v>
                </c:pt>
                <c:pt idx="2">
                  <c:v>7.1~7.15</c:v>
                </c:pt>
                <c:pt idx="3">
                  <c:v>7.16~7.31</c:v>
                </c:pt>
                <c:pt idx="4">
                  <c:v>8.1~8.15</c:v>
                </c:pt>
                <c:pt idx="5">
                  <c:v>8.16~8.31</c:v>
                </c:pt>
                <c:pt idx="6">
                  <c:v>9.1~9.15</c:v>
                </c:pt>
                <c:pt idx="7">
                  <c:v>9.16~9.30</c:v>
                </c:pt>
              </c:strCache>
            </c:strRef>
          </c:cat>
          <c:val>
            <c:numRef>
              <c:f>[2022年份竹笋产量登记总表.xlsx]出笋数量数据整理!$P$24:$P$31</c:f>
              <c:numCache>
                <c:formatCode>General</c:formatCode>
                <c:ptCount val="8"/>
                <c:pt idx="0">
                  <c:v>50</c:v>
                </c:pt>
                <c:pt idx="1">
                  <c:v>169</c:v>
                </c:pt>
                <c:pt idx="2">
                  <c:v>612</c:v>
                </c:pt>
                <c:pt idx="3">
                  <c:v>966</c:v>
                </c:pt>
                <c:pt idx="4">
                  <c:v>850</c:v>
                </c:pt>
                <c:pt idx="5">
                  <c:v>633</c:v>
                </c:pt>
                <c:pt idx="6">
                  <c:v>331</c:v>
                </c:pt>
                <c:pt idx="7">
                  <c:v>226</c:v>
                </c:pt>
              </c:numCache>
            </c:numRef>
          </c:val>
          <c:smooth val="1"/>
        </c:ser>
        <c:dLbls>
          <c:showLegendKey val="0"/>
          <c:showVal val="1"/>
          <c:showCatName val="0"/>
          <c:showSerName val="0"/>
          <c:showPercent val="0"/>
          <c:showBubbleSize val="0"/>
        </c:dLbls>
        <c:marker val="1"/>
        <c:smooth val="1"/>
        <c:axId val="393182269"/>
        <c:axId val="209075308"/>
      </c:lineChart>
      <c:catAx>
        <c:axId val="393182269"/>
        <c:scaling>
          <c:orientation val="minMax"/>
        </c:scaling>
        <c:delete val="0"/>
        <c:axPos val="b"/>
        <c:majorGridlines>
          <c:spPr>
            <a:ln w="9525" cap="flat" cmpd="sng" algn="ctr">
              <a:noFill/>
              <a:round/>
            </a:ln>
            <a:effectLst/>
          </c:spPr>
        </c:majorGridlines>
        <c:title>
          <c:tx>
            <c:rich>
              <a:bodyPr rot="0" spcFirstLastPara="0" vertOverflow="ellipsis" vert="horz" wrap="square" anchor="ctr" anchorCtr="1"/>
              <a:lstStyle/>
              <a:p>
                <a:pPr defTabSz="914400">
                  <a:defRPr lang="zh-CN" sz="1000" b="0" i="0" u="none" strike="noStrike" kern="1200" cap="none" spc="0" normalizeH="0" baseline="0">
                    <a:solidFill>
                      <a:schemeClr val="tx1"/>
                    </a:solidFill>
                    <a:uFill>
                      <a:solidFill>
                        <a:schemeClr val="tx1"/>
                      </a:solidFill>
                    </a:uFill>
                    <a:latin typeface="+mn-lt"/>
                    <a:ea typeface="+mn-ea"/>
                    <a:cs typeface="+mn-cs"/>
                  </a:defRPr>
                </a:pPr>
                <a:r>
                  <a:rPr sz="900" b="0" u="none" strike="noStrike" cap="none" normalizeH="0">
                    <a:solidFill>
                      <a:schemeClr val="tx1"/>
                    </a:solidFill>
                    <a:uFill>
                      <a:solidFill>
                        <a:schemeClr val="tx1"/>
                      </a:solidFill>
                    </a:uFill>
                  </a:rPr>
                  <a:t>观测日期</a:t>
                </a:r>
                <a:endParaRPr sz="900" b="0" u="none" strike="noStrike" cap="none" normalizeH="0">
                  <a:solidFill>
                    <a:schemeClr val="tx1"/>
                  </a:solidFill>
                  <a:uFill>
                    <a:solidFill>
                      <a:schemeClr val="tx1"/>
                    </a:solidFill>
                  </a:uFill>
                </a:endParaRPr>
              </a:p>
            </c:rich>
          </c:tx>
          <c:layout>
            <c:manualLayout>
              <c:xMode val="edge"/>
              <c:yMode val="edge"/>
              <c:x val="0.415476641098382"/>
              <c:y val="0.927017883035283"/>
            </c:manualLayout>
          </c:layout>
          <c:overlay val="0"/>
          <c:spPr>
            <a:noFill/>
            <a:ln>
              <a:noFill/>
            </a:ln>
            <a:effectLst/>
          </c:spPr>
        </c:title>
        <c:numFmt formatCode="#,##0.00_);[Red]\(#,##0.00\)" sourceLinked="0"/>
        <c:majorTickMark val="in"/>
        <c:minorTickMark val="none"/>
        <c:tickLblPos val="nextTo"/>
        <c:spPr>
          <a:noFill/>
          <a:ln w="9525" cap="flat" cmpd="sng" algn="ctr">
            <a:solidFill>
              <a:schemeClr val="tx1"/>
            </a:solidFill>
            <a:round/>
            <a:tailEnd type="arrow"/>
          </a:ln>
          <a:effectLst/>
        </c:spPr>
        <c:txPr>
          <a:bodyPr rot="-60000000" spcFirstLastPara="0" vertOverflow="ellipsis" vert="horz" wrap="square" anchor="ctr" anchorCtr="1"/>
          <a:lstStyle/>
          <a:p>
            <a:pPr>
              <a:defRPr lang="zh-CN" sz="900" b="0" i="0" u="none" strike="noStrike" kern="1200" cap="none" spc="120" normalizeH="0" baseline="0">
                <a:solidFill>
                  <a:schemeClr val="tx1"/>
                </a:solidFill>
                <a:uFill>
                  <a:solidFill>
                    <a:schemeClr val="tx1"/>
                  </a:solidFill>
                </a:uFill>
                <a:latin typeface="Times New Roman" panose="02020603050405020304" charset="0"/>
                <a:ea typeface="宋体" panose="02010600030101010101" charset="-122"/>
                <a:cs typeface="+mn-cs"/>
              </a:defRPr>
            </a:pPr>
          </a:p>
        </c:txPr>
        <c:crossAx val="209075308"/>
        <c:crosses val="autoZero"/>
        <c:auto val="1"/>
        <c:lblAlgn val="ctr"/>
        <c:lblOffset val="100"/>
        <c:noMultiLvlLbl val="0"/>
      </c:catAx>
      <c:valAx>
        <c:axId val="209075308"/>
        <c:scaling>
          <c:orientation val="minMax"/>
          <c:max val="1000"/>
        </c:scaling>
        <c:delete val="0"/>
        <c:axPos val="l"/>
        <c:title>
          <c:tx>
            <c:rich>
              <a:bodyPr rot="-5400000" spcFirstLastPara="0" vertOverflow="ellipsis" vert="horz" wrap="square" anchor="ctr" anchorCtr="1"/>
              <a:lstStyle/>
              <a:p>
                <a:pPr defTabSz="914400">
                  <a:defRPr lang="zh-CN" sz="1000" b="0" i="0" u="none" strike="noStrike" kern="1200" cap="none" spc="0" normalizeH="0" baseline="0">
                    <a:solidFill>
                      <a:schemeClr val="tx1"/>
                    </a:solidFill>
                    <a:uFill>
                      <a:solidFill>
                        <a:schemeClr val="tx1"/>
                      </a:solidFill>
                    </a:uFill>
                    <a:latin typeface="+mn-lt"/>
                    <a:ea typeface="+mn-ea"/>
                    <a:cs typeface="+mn-cs"/>
                  </a:defRPr>
                </a:pPr>
                <a:r>
                  <a:rPr sz="900" b="0" u="none" strike="noStrike" cap="none" normalizeH="0">
                    <a:solidFill>
                      <a:schemeClr val="tx1"/>
                    </a:solidFill>
                    <a:uFill>
                      <a:solidFill>
                        <a:schemeClr val="tx1"/>
                      </a:solidFill>
                    </a:uFill>
                    <a:latin typeface="宋体" panose="02010600030101010101" charset="-122"/>
                    <a:ea typeface="宋体" panose="02010600030101010101" charset="-122"/>
                  </a:rPr>
                  <a:t>出笋数量（个）</a:t>
                </a:r>
                <a:endParaRPr sz="900" b="0" u="none" strike="noStrike" cap="none" normalizeH="0">
                  <a:solidFill>
                    <a:schemeClr val="tx1"/>
                  </a:solidFill>
                  <a:uFill>
                    <a:solidFill>
                      <a:schemeClr val="tx1"/>
                    </a:solidFill>
                  </a:uFill>
                  <a:latin typeface="宋体" panose="02010600030101010101" charset="-122"/>
                  <a:ea typeface="宋体" panose="02010600030101010101" charset="-122"/>
                </a:endParaRPr>
              </a:p>
            </c:rich>
          </c:tx>
          <c:layout>
            <c:manualLayout>
              <c:xMode val="edge"/>
              <c:yMode val="edge"/>
              <c:x val="0.00390625"/>
              <c:y val="0.210766747123502"/>
            </c:manualLayout>
          </c:layout>
          <c:overlay val="0"/>
          <c:spPr>
            <a:noFill/>
            <a:ln>
              <a:noFill/>
            </a:ln>
            <a:effectLst/>
          </c:spPr>
        </c:title>
        <c:numFmt formatCode="General" sourceLinked="1"/>
        <c:majorTickMark val="in"/>
        <c:minorTickMark val="none"/>
        <c:tickLblPos val="nextTo"/>
        <c:spPr>
          <a:noFill/>
          <a:ln w="9525" cap="flat" cmpd="sng" algn="ctr">
            <a:solidFill>
              <a:schemeClr val="tx1"/>
            </a:solidFill>
            <a:round/>
            <a:tailEnd type="arrow"/>
          </a:ln>
          <a:effectLst/>
        </c:spPr>
        <c:txPr>
          <a:bodyPr rot="-60000000" spcFirstLastPara="0" vertOverflow="ellipsis" vert="horz" wrap="square" anchor="ctr" anchorCtr="1"/>
          <a:lstStyle/>
          <a:p>
            <a:pPr>
              <a:defRPr lang="zh-CN" sz="900" b="0" i="0" u="none" strike="noStrike" kern="1200" cap="none" spc="0" normalizeH="0" baseline="0">
                <a:solidFill>
                  <a:schemeClr val="tx1"/>
                </a:solidFill>
                <a:uFill>
                  <a:solidFill>
                    <a:schemeClr val="tx1"/>
                  </a:solidFill>
                </a:uFill>
                <a:latin typeface="Times New Roman" panose="02020603050405020304" charset="0"/>
                <a:ea typeface="+mn-ea"/>
                <a:cs typeface="+mn-cs"/>
              </a:defRPr>
            </a:pPr>
          </a:p>
        </c:txPr>
        <c:crossAx val="393182269"/>
        <c:crosses val="autoZero"/>
        <c:crossBetween val="between"/>
        <c:majorUnit val="100"/>
        <c:minorUnit val="50"/>
      </c:valAx>
      <c:spPr>
        <a:noFill/>
        <a:ln>
          <a:noFill/>
        </a:ln>
        <a:effectLst/>
      </c:spPr>
    </c:plotArea>
    <c:plotVisOnly val="1"/>
    <c:dispBlanksAs val="gap"/>
    <c:showDLblsOverMax val="0"/>
    <c:extLst>
      <c:ext uri="{0b15fc19-7d7d-44ad-8c2d-2c3a37ce22c3}">
        <chartProps xmlns="https://web.wps.cn/et/2018/main" chartId="{2bd39dd6-90d3-459e-9042-e4bc3118d19f}"/>
      </c:ext>
    </c:extLst>
  </c:chart>
  <c:spPr>
    <a:solidFill>
      <a:schemeClr val="lt1"/>
    </a:solidFill>
    <a:ln w="9525" cap="flat" cmpd="sng" algn="ctr">
      <a:noFill/>
      <a:round/>
    </a:ln>
    <a:effectLst/>
  </c:spPr>
  <c:txPr>
    <a:bodyPr/>
    <a:lstStyle/>
    <a:p>
      <a:pPr>
        <a:defRPr lang="zh-CN" sz="1000" b="0" u="none" strike="noStrike" kern="1200" cap="none" spc="0" normalizeH="0">
          <a:solidFill>
            <a:schemeClr val="tx1"/>
          </a:solidFill>
          <a:uFill>
            <a:solidFill>
              <a:schemeClr val="tx1"/>
            </a:solidFill>
          </a:u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6356268999791"/>
          <c:y val="0.0389246709605153"/>
          <c:w val="0.849756216479766"/>
          <c:h val="0.641541874653356"/>
        </c:manualLayout>
      </c:layout>
      <c:lineChart>
        <c:grouping val="standard"/>
        <c:varyColors val="0"/>
        <c:ser>
          <c:idx val="0"/>
          <c:order val="0"/>
          <c:tx>
            <c:strRef>
              <c:f>[2022年份竹笋产量登记总表.xlsx]平均亩产量数据汇总!$Z$7</c:f>
              <c:strCache>
                <c:ptCount val="1"/>
                <c:pt idx="0">
                  <c:v/>
                </c:pt>
              </c:strCache>
            </c:strRef>
          </c:tx>
          <c:spPr>
            <a:ln w="12700" cap="sq">
              <a:solidFill>
                <a:schemeClr val="tx1">
                  <a:alpha val="91000"/>
                </a:schemeClr>
              </a:solidFill>
              <a:round/>
            </a:ln>
            <a:effectLst/>
          </c:spPr>
          <c:marker>
            <c:symbol val="diamond"/>
            <c:size val="6"/>
            <c:spPr>
              <a:solidFill>
                <a:schemeClr val="tx1"/>
              </a:solidFill>
              <a:ln w="9525">
                <a:noFill/>
                <a:round/>
              </a:ln>
              <a:effectLst/>
            </c:spPr>
          </c:marker>
          <c:dLbls>
            <c:dLbl>
              <c:idx val="2"/>
              <c:layout>
                <c:manualLayout>
                  <c:x val="-0.0324350688940373"/>
                  <c:y val="0.0215625875105013"/>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00524435802270658"/>
                  <c:y val="0"/>
                </c:manualLayout>
              </c:layout>
              <c:dLblPos val="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[2022年份竹笋产量登记总表.xlsx]平均亩产量数据汇总!$Y$9:$Y$16</c:f>
              <c:strCache>
                <c:ptCount val="8"/>
                <c:pt idx="0">
                  <c:v>6.1~6.15</c:v>
                </c:pt>
                <c:pt idx="1">
                  <c:v>6.16~6.30</c:v>
                </c:pt>
                <c:pt idx="2">
                  <c:v>7.1~7.15</c:v>
                </c:pt>
                <c:pt idx="3">
                  <c:v>7.16~7.31</c:v>
                </c:pt>
                <c:pt idx="4">
                  <c:v>8.1~8.15</c:v>
                </c:pt>
                <c:pt idx="5">
                  <c:v>8.16~8.31</c:v>
                </c:pt>
                <c:pt idx="6">
                  <c:v>9.1~9.15</c:v>
                </c:pt>
                <c:pt idx="7">
                  <c:v>9.16~9.30</c:v>
                </c:pt>
              </c:strCache>
            </c:strRef>
          </c:cat>
          <c:val>
            <c:numRef>
              <c:f>[2022年份竹笋产量登记总表.xlsx]平均亩产量数据汇总!$Z$9:$Z$16</c:f>
              <c:numCache>
                <c:formatCode>0.00_);[Red]\(0.00\)</c:formatCode>
                <c:ptCount val="8"/>
                <c:pt idx="0">
                  <c:v>20.43104375</c:v>
                </c:pt>
                <c:pt idx="1">
                  <c:v>87.1518875</c:v>
                </c:pt>
                <c:pt idx="2">
                  <c:v>330.1233125</c:v>
                </c:pt>
                <c:pt idx="3">
                  <c:v>466.852059375</c:v>
                </c:pt>
                <c:pt idx="4">
                  <c:v>324.284978125</c:v>
                </c:pt>
                <c:pt idx="5">
                  <c:v>231.667859375</c:v>
                </c:pt>
                <c:pt idx="6">
                  <c:v>128.20990625</c:v>
                </c:pt>
                <c:pt idx="7">
                  <c:v>65.351409375</c:v>
                </c:pt>
              </c:numCache>
            </c:numRef>
          </c:val>
          <c:smooth val="1"/>
        </c:ser>
        <c:dLbls>
          <c:showLegendKey val="0"/>
          <c:showVal val="1"/>
          <c:showCatName val="0"/>
          <c:showSerName val="0"/>
          <c:showPercent val="0"/>
          <c:showBubbleSize val="0"/>
        </c:dLbls>
        <c:marker val="1"/>
        <c:smooth val="1"/>
        <c:axId val="728839591"/>
        <c:axId val="437921484"/>
      </c:lineChart>
      <c:catAx>
        <c:axId val="728839591"/>
        <c:scaling>
          <c:orientation val="minMax"/>
        </c:scaling>
        <c:delete val="0"/>
        <c:axPos val="b"/>
        <c:title>
          <c:tx>
            <c:rich>
              <a:bodyPr rot="0" spcFirstLastPara="0" vertOverflow="ellipsis" vert="horz" wrap="square" anchor="ctr" anchorCtr="1"/>
              <a:lstStyle/>
              <a:p>
                <a:pPr defTabSz="914400">
                  <a:defRPr lang="zh-CN" sz="900" b="1" i="0" u="none" strike="noStrike" kern="1200" cap="all" baseline="0">
                    <a:solidFill>
                      <a:schemeClr val="tx1"/>
                    </a:solidFill>
                    <a:latin typeface="+mn-lt"/>
                    <a:ea typeface="+mn-ea"/>
                    <a:cs typeface="+mn-cs"/>
                  </a:defRPr>
                </a:pPr>
                <a:r>
                  <a:rPr b="0">
                    <a:solidFill>
                      <a:schemeClr val="tx1">
                        <a:lumMod val="95000"/>
                        <a:lumOff val="5000"/>
                      </a:schemeClr>
                    </a:solidFill>
                  </a:rPr>
                  <a:t>观测</a:t>
                </a:r>
                <a:r>
                  <a:rPr b="0">
                    <a:solidFill>
                      <a:schemeClr val="tx1">
                        <a:lumMod val="95000"/>
                        <a:lumOff val="5000"/>
                      </a:schemeClr>
                    </a:solidFill>
                    <a:uFillTx/>
                  </a:rPr>
                  <a:t>日期</a:t>
                </a:r>
                <a:endParaRPr b="0">
                  <a:solidFill>
                    <a:schemeClr val="tx1">
                      <a:lumMod val="95000"/>
                      <a:lumOff val="5000"/>
                    </a:schemeClr>
                  </a:solidFill>
                  <a:uFillTx/>
                </a:endParaRPr>
              </a:p>
            </c:rich>
          </c:tx>
          <c:layout>
            <c:manualLayout>
              <c:xMode val="edge"/>
              <c:yMode val="edge"/>
              <c:x val="0.436372501218918"/>
              <c:y val="0.930173410404624"/>
            </c:manualLayout>
          </c:layout>
          <c:overlay val="0"/>
          <c:spPr>
            <a:noFill/>
            <a:ln>
              <a:noFill/>
            </a:ln>
            <a:effectLst/>
          </c:spPr>
        </c:title>
        <c:numFmt formatCode="General" sourceLinked="0"/>
        <c:majorTickMark val="in"/>
        <c:minorTickMark val="none"/>
        <c:tickLblPos val="nextTo"/>
        <c:spPr>
          <a:noFill/>
          <a:ln w="9525" cap="flat" cmpd="sng" algn="ctr">
            <a:solidFill>
              <a:schemeClr val="tx1"/>
            </a:solidFill>
            <a:round/>
            <a:tailEnd type="arrow"/>
          </a:ln>
          <a:effectLst/>
        </c:spPr>
        <c:txPr>
          <a:bodyPr rot="-60000000" spcFirstLastPara="0" vertOverflow="ellipsis" vert="horz" wrap="square" anchor="ctr" anchorCtr="1"/>
          <a:lstStyle/>
          <a:p>
            <a:pPr>
              <a:defRPr lang="zh-CN" sz="900" b="0" i="0" u="none" strike="noStrike" kern="1200" cap="all" spc="120" normalizeH="0" baseline="0">
                <a:solidFill>
                  <a:schemeClr val="tx1"/>
                </a:solidFill>
                <a:uFill>
                  <a:solidFill>
                    <a:schemeClr val="tx1"/>
                  </a:solidFill>
                </a:uFill>
                <a:latin typeface="+mn-lt"/>
                <a:ea typeface="+mn-ea"/>
                <a:cs typeface="+mn-cs"/>
              </a:defRPr>
            </a:pPr>
          </a:p>
        </c:txPr>
        <c:crossAx val="437921484"/>
        <c:crosses val="autoZero"/>
        <c:auto val="1"/>
        <c:lblAlgn val="ctr"/>
        <c:lblOffset val="100"/>
        <c:noMultiLvlLbl val="0"/>
      </c:catAx>
      <c:valAx>
        <c:axId val="437921484"/>
        <c:scaling>
          <c:orientation val="minMax"/>
        </c:scaling>
        <c:delete val="0"/>
        <c:axPos val="l"/>
        <c:title>
          <c:tx>
            <c:rich>
              <a:bodyPr rot="-5400000" spcFirstLastPara="0" vertOverflow="ellipsis" vert="horz" wrap="square" anchor="ctr" anchorCtr="1"/>
              <a:lstStyle/>
              <a:p>
                <a:pPr defTabSz="914400">
                  <a:defRPr lang="zh-CN" sz="900" b="1" i="0" u="none" strike="noStrike" kern="1200" cap="all" baseline="0">
                    <a:solidFill>
                      <a:schemeClr val="tx1"/>
                    </a:solidFill>
                    <a:latin typeface="+mn-lt"/>
                    <a:ea typeface="+mn-ea"/>
                    <a:cs typeface="+mn-cs"/>
                  </a:defRPr>
                </a:pPr>
                <a:r>
                  <a:rPr b="0">
                    <a:solidFill>
                      <a:schemeClr val="tx1"/>
                    </a:solidFill>
                    <a:latin typeface="宋体" panose="02010600030101010101" charset="-122"/>
                    <a:ea typeface="宋体" panose="02010600030101010101" charset="-122"/>
                    <a:cs typeface="宋体" panose="02010600030101010101" charset="-122"/>
                  </a:rPr>
                  <a:t>竹笋产量（</a:t>
                </a:r>
                <a:r>
                  <a:rPr b="0">
                    <a:solidFill>
                      <a:schemeClr val="tx1"/>
                    </a:solidFill>
                    <a:latin typeface="Times New Roman" panose="02020603050405020304" charset="0"/>
                    <a:ea typeface="宋体" panose="02010600030101010101" charset="-122"/>
                    <a:cs typeface="Times New Roman" panose="02020603050405020304" charset="0"/>
                  </a:rPr>
                  <a:t>㎏</a:t>
                </a:r>
                <a:r>
                  <a:rPr lang="en-US" altLang="zh-CN" b="0" baseline="30000">
                    <a:solidFill>
                      <a:schemeClr val="tx1"/>
                    </a:solidFill>
                    <a:latin typeface="Times New Roman" panose="02020603050405020304" charset="0"/>
                    <a:ea typeface="宋体" panose="02010600030101010101" charset="-122"/>
                    <a:cs typeface="Times New Roman" panose="02020603050405020304" charset="0"/>
                  </a:rPr>
                  <a:t>.</a:t>
                </a:r>
                <a:r>
                  <a:rPr b="0">
                    <a:solidFill>
                      <a:schemeClr val="tx1"/>
                    </a:solidFill>
                    <a:latin typeface="宋体" panose="02010600030101010101" charset="-122"/>
                    <a:ea typeface="宋体" panose="02010600030101010101" charset="-122"/>
                    <a:cs typeface="宋体" panose="02010600030101010101" charset="-122"/>
                  </a:rPr>
                  <a:t>亩</a:t>
                </a:r>
                <a:r>
                  <a:rPr lang="en-US" altLang="zh-CN" b="0" baseline="30000">
                    <a:solidFill>
                      <a:schemeClr val="tx1"/>
                    </a:solidFill>
                    <a:latin typeface="Times New Roman" panose="02020603050405020304" charset="0"/>
                    <a:ea typeface="宋体" panose="02010600030101010101" charset="-122"/>
                    <a:cs typeface="Times New Roman" panose="02020603050405020304" charset="0"/>
                  </a:rPr>
                  <a:t>-1</a:t>
                </a:r>
                <a:r>
                  <a:rPr b="0">
                    <a:solidFill>
                      <a:schemeClr val="tx1"/>
                    </a:solidFill>
                  </a:rPr>
                  <a:t>）</a:t>
                </a:r>
                <a:endParaRPr b="0">
                  <a:solidFill>
                    <a:schemeClr val="tx1"/>
                  </a:solidFill>
                </a:endParaRPr>
              </a:p>
            </c:rich>
          </c:tx>
          <c:layout>
            <c:manualLayout>
              <c:xMode val="edge"/>
              <c:yMode val="edge"/>
              <c:x val="0.0235127477616743"/>
              <c:y val="0.097514808691796"/>
            </c:manualLayout>
          </c:layout>
          <c:overlay val="0"/>
          <c:spPr>
            <a:noFill/>
            <a:ln>
              <a:noFill/>
            </a:ln>
            <a:effectLst/>
          </c:spPr>
        </c:title>
        <c:numFmt formatCode="0_);[Red]\(0\)" sourceLinked="0"/>
        <c:majorTickMark val="in"/>
        <c:minorTickMark val="none"/>
        <c:tickLblPos val="nextTo"/>
        <c:spPr>
          <a:noFill/>
          <a:ln w="9525" cap="flat" cmpd="sng" algn="ctr">
            <a:solidFill>
              <a:schemeClr val="tx1"/>
            </a:solidFill>
            <a:round/>
            <a:tailEnd type="arrow"/>
          </a:ln>
          <a:effectLst/>
        </c:spPr>
        <c:txPr>
          <a:bodyPr rot="-60000000" spcFirstLastPara="0" vertOverflow="ellipsis" vert="horz" wrap="square" anchor="ctr" anchorCtr="1"/>
          <a:lstStyle/>
          <a:p>
            <a:pPr>
              <a:defRPr lang="zh-CN" sz="900" b="0" i="0" u="none" strike="noStrike" kern="1200" cap="none" spc="0" normalizeH="0" baseline="0">
                <a:solidFill>
                  <a:schemeClr val="tx1"/>
                </a:solidFill>
                <a:uFill>
                  <a:solidFill>
                    <a:schemeClr val="tx1"/>
                  </a:solidFill>
                </a:uFill>
                <a:latin typeface="+mn-lt"/>
                <a:ea typeface="+mn-ea"/>
                <a:cs typeface="+mn-cs"/>
              </a:defRPr>
            </a:pPr>
          </a:p>
        </c:txPr>
        <c:crossAx val="728839591"/>
        <c:crosses val="autoZero"/>
        <c:crossBetween val="between"/>
      </c:valAx>
      <c:spPr>
        <a:noFill/>
        <a:ln>
          <a:noFill/>
        </a:ln>
        <a:effectLst/>
      </c:spPr>
    </c:plotArea>
    <c:plotVisOnly val="1"/>
    <c:dispBlanksAs val="gap"/>
    <c:showDLblsOverMax val="0"/>
    <c:extLst>
      <c:ext uri="{0b15fc19-7d7d-44ad-8c2d-2c3a37ce22c3}">
        <chartProps xmlns="https://web.wps.cn/et/2018/main" chartId="{fafa0a9b-d4c4-45b4-9224-102f29d409c9}"/>
      </c:ext>
    </c:extLst>
  </c:chart>
  <c:spPr>
    <a:solidFill>
      <a:schemeClr val="lt1"/>
    </a:solidFill>
    <a:ln w="9525" cap="flat" cmpd="sng" algn="ctr">
      <a:no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15</Pages>
  <Words>7263</Words>
  <Characters>8391</Characters>
  <Lines>93</Lines>
  <Paragraphs>26</Paragraphs>
  <TotalTime>1</TotalTime>
  <ScaleCrop>false</ScaleCrop>
  <LinksUpToDate>false</LinksUpToDate>
  <CharactersWithSpaces>8486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2025-02-19T02:46:00Z</dcterms:created>
  <dc:creator>USER</dc:creator>
  <cp:lastModifiedBy>竹韵</cp:lastModifiedBy>
  <cp:lastPrinted>2025-01-15T04:51:00Z</cp:lastPrinted>
  <dcterms:modified xsi:type="dcterms:W3CDTF">2025-06-03T09:06:43Z</dcterms:modified>
  <dc:title>广西地方标准《脱氢枞酸》（征求意见稿）</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5FAC6B0E9A2C4B59A12644F9C27EB80D_13</vt:lpwstr>
  </property>
  <property fmtid="{D5CDD505-2E9C-101B-9397-08002B2CF9AE}" pid="4" name="KSOTemplateDocerSaveRecord">
    <vt:lpwstr>eyJoZGlkIjoiMTEzM2YzMzY1NTcxMmNlNzI2ZWYxYWY0MzMxY2Y3YzIiLCJ1c2VySWQiOiIyMjY4OTg3MTcifQ==</vt:lpwstr>
  </property>
</Properties>
</file>